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DCA9B5" w14:textId="77777777" w:rsidR="003649E4" w:rsidRDefault="003649E4" w:rsidP="003649E4">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Семинар сабақтарының жоспары</w:t>
      </w:r>
    </w:p>
    <w:tbl>
      <w:tblPr>
        <w:tblW w:w="0" w:type="auto"/>
        <w:tblLook w:val="04A0" w:firstRow="1" w:lastRow="0" w:firstColumn="1" w:lastColumn="0" w:noHBand="0" w:noVBand="1"/>
      </w:tblPr>
      <w:tblGrid>
        <w:gridCol w:w="1079"/>
        <w:gridCol w:w="8266"/>
      </w:tblGrid>
      <w:tr w:rsidR="003649E4" w14:paraId="4BC623DE" w14:textId="77777777" w:rsidTr="00036BCB">
        <w:tc>
          <w:tcPr>
            <w:tcW w:w="1101" w:type="dxa"/>
            <w:tcBorders>
              <w:top w:val="single" w:sz="4" w:space="0" w:color="auto"/>
              <w:left w:val="single" w:sz="4" w:space="0" w:color="auto"/>
              <w:bottom w:val="single" w:sz="4" w:space="0" w:color="auto"/>
              <w:right w:val="single" w:sz="4" w:space="0" w:color="auto"/>
            </w:tcBorders>
            <w:hideMark/>
          </w:tcPr>
          <w:p w14:paraId="7B674FC1" w14:textId="77777777" w:rsidR="003649E4" w:rsidRDefault="003649E4" w:rsidP="00036BCB">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8470" w:type="dxa"/>
            <w:tcBorders>
              <w:top w:val="single" w:sz="4" w:space="0" w:color="auto"/>
              <w:left w:val="single" w:sz="4" w:space="0" w:color="auto"/>
              <w:bottom w:val="single" w:sz="4" w:space="0" w:color="auto"/>
              <w:right w:val="single" w:sz="4" w:space="0" w:color="auto"/>
            </w:tcBorders>
            <w:hideMark/>
          </w:tcPr>
          <w:p w14:paraId="456B987F" w14:textId="77777777" w:rsidR="003649E4" w:rsidRDefault="003649E4" w:rsidP="00036BCB">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Семинар сұрақтары</w:t>
            </w:r>
          </w:p>
        </w:tc>
      </w:tr>
      <w:tr w:rsidR="003649E4" w:rsidRPr="000F15B4" w14:paraId="195F67D6" w14:textId="77777777" w:rsidTr="00036BCB">
        <w:tc>
          <w:tcPr>
            <w:tcW w:w="1101" w:type="dxa"/>
            <w:tcBorders>
              <w:top w:val="single" w:sz="4" w:space="0" w:color="auto"/>
              <w:left w:val="single" w:sz="4" w:space="0" w:color="auto"/>
              <w:bottom w:val="single" w:sz="4" w:space="0" w:color="auto"/>
              <w:right w:val="single" w:sz="4" w:space="0" w:color="auto"/>
            </w:tcBorders>
            <w:hideMark/>
          </w:tcPr>
          <w:p w14:paraId="0B5ACC6D" w14:textId="77777777" w:rsidR="003649E4" w:rsidRDefault="003649E4" w:rsidP="00036BCB">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8470" w:type="dxa"/>
            <w:tcBorders>
              <w:top w:val="single" w:sz="4" w:space="0" w:color="auto"/>
              <w:left w:val="single" w:sz="4" w:space="0" w:color="auto"/>
              <w:bottom w:val="single" w:sz="4" w:space="0" w:color="auto"/>
              <w:right w:val="single" w:sz="4" w:space="0" w:color="auto"/>
            </w:tcBorders>
            <w:hideMark/>
          </w:tcPr>
          <w:p w14:paraId="35611DBB" w14:textId="77777777" w:rsidR="003649E4" w:rsidRPr="00956F33" w:rsidRDefault="003649E4" w:rsidP="00036BCB">
            <w:pPr>
              <w:pStyle w:val="a5"/>
              <w:rPr>
                <w:rFonts w:ascii="Times New Roman" w:hAnsi="Times New Roman" w:cs="Times New Roman"/>
                <w:sz w:val="24"/>
                <w:szCs w:val="24"/>
                <w:lang w:val="kk-KZ"/>
              </w:rPr>
            </w:pPr>
            <w:r>
              <w:rPr>
                <w:rFonts w:ascii="Times New Roman" w:hAnsi="Times New Roman" w:cs="Times New Roman"/>
                <w:sz w:val="28"/>
                <w:szCs w:val="28"/>
                <w:lang w:val="kk-KZ"/>
              </w:rPr>
              <w:t xml:space="preserve">1-тақырып. </w:t>
            </w:r>
            <w:r w:rsidRPr="00C37273">
              <w:rPr>
                <w:rFonts w:ascii="Times New Roman" w:hAnsi="Times New Roman" w:cs="Times New Roman"/>
                <w:sz w:val="28"/>
                <w:szCs w:val="28"/>
                <w:lang w:val="kk-KZ"/>
              </w:rPr>
              <w:t xml:space="preserve"> Ивестицияның және инвестициялық қызметтің түсінігі.    </w:t>
            </w:r>
            <w:r w:rsidRPr="00956F33">
              <w:rPr>
                <w:rFonts w:ascii="Times New Roman" w:hAnsi="Times New Roman" w:cs="Times New Roman"/>
                <w:sz w:val="24"/>
                <w:szCs w:val="24"/>
                <w:lang w:val="kk-KZ"/>
              </w:rPr>
              <w:t>1. Инвестицияның түсінігі, құқықтық және экономикалық тұрғыдағы анықтамаларының арақатынасы. Инвестицияның белгілері;</w:t>
            </w:r>
          </w:p>
          <w:p w14:paraId="69BE683F" w14:textId="77777777" w:rsidR="003649E4" w:rsidRPr="00956F33" w:rsidRDefault="003649E4" w:rsidP="003649E4">
            <w:pPr>
              <w:pStyle w:val="a5"/>
              <w:numPr>
                <w:ilvl w:val="0"/>
                <w:numId w:val="1"/>
              </w:numPr>
              <w:tabs>
                <w:tab w:val="num" w:pos="0"/>
              </w:tabs>
              <w:spacing w:after="0" w:line="240" w:lineRule="auto"/>
              <w:ind w:left="0" w:firstLine="360"/>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Инвестицияның түрлері. Тікелей және портфельдік инвестициялар;</w:t>
            </w:r>
          </w:p>
          <w:p w14:paraId="48B22682" w14:textId="77777777" w:rsidR="003649E4" w:rsidRPr="00956F33" w:rsidRDefault="003649E4" w:rsidP="003649E4">
            <w:pPr>
              <w:pStyle w:val="a5"/>
              <w:numPr>
                <w:ilvl w:val="0"/>
                <w:numId w:val="1"/>
              </w:numPr>
              <w:tabs>
                <w:tab w:val="num" w:pos="0"/>
              </w:tabs>
              <w:spacing w:after="0" w:line="240" w:lineRule="auto"/>
              <w:ind w:left="0" w:firstLine="360"/>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Инвестиция және шетелдік инвестиция түсініктерінің арақатынасы;</w:t>
            </w:r>
          </w:p>
          <w:p w14:paraId="757C1919" w14:textId="77777777" w:rsidR="003649E4" w:rsidRPr="00956F33" w:rsidRDefault="003649E4" w:rsidP="003649E4">
            <w:pPr>
              <w:pStyle w:val="a5"/>
              <w:numPr>
                <w:ilvl w:val="0"/>
                <w:numId w:val="1"/>
              </w:numPr>
              <w:tabs>
                <w:tab w:val="num" w:pos="0"/>
              </w:tabs>
              <w:spacing w:after="0" w:line="240" w:lineRule="auto"/>
              <w:ind w:left="0" w:firstLine="360"/>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Инвестициялық қызметтердің түсінігі және ерекшеліктері;</w:t>
            </w:r>
          </w:p>
          <w:p w14:paraId="34DBC60D" w14:textId="77777777" w:rsidR="003649E4" w:rsidRPr="00956F33" w:rsidRDefault="003649E4" w:rsidP="003649E4">
            <w:pPr>
              <w:pStyle w:val="a5"/>
              <w:numPr>
                <w:ilvl w:val="0"/>
                <w:numId w:val="1"/>
              </w:numPr>
              <w:tabs>
                <w:tab w:val="num" w:pos="0"/>
              </w:tabs>
              <w:spacing w:after="0" w:line="240" w:lineRule="auto"/>
              <w:ind w:left="0" w:firstLine="360"/>
              <w:jc w:val="both"/>
              <w:rPr>
                <w:rFonts w:ascii="Times New Roman" w:hAnsi="Times New Roman" w:cs="Times New Roman"/>
                <w:sz w:val="24"/>
                <w:szCs w:val="24"/>
              </w:rPr>
            </w:pPr>
            <w:proofErr w:type="spellStart"/>
            <w:r w:rsidRPr="00956F33">
              <w:rPr>
                <w:rFonts w:ascii="Times New Roman" w:hAnsi="Times New Roman" w:cs="Times New Roman"/>
                <w:sz w:val="24"/>
                <w:szCs w:val="24"/>
              </w:rPr>
              <w:t>Инвестициялық</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қызметтердің</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принциптері</w:t>
            </w:r>
            <w:proofErr w:type="spellEnd"/>
            <w:r w:rsidRPr="00956F33">
              <w:rPr>
                <w:rFonts w:ascii="Times New Roman" w:hAnsi="Times New Roman" w:cs="Times New Roman"/>
                <w:sz w:val="24"/>
                <w:szCs w:val="24"/>
              </w:rPr>
              <w:t>.</w:t>
            </w:r>
          </w:p>
          <w:p w14:paraId="6E499ED6" w14:textId="77777777" w:rsidR="003649E4" w:rsidRPr="00C37273" w:rsidRDefault="003649E4" w:rsidP="00036BCB">
            <w:pPr>
              <w:tabs>
                <w:tab w:val="left" w:pos="360"/>
              </w:tabs>
              <w:jc w:val="both"/>
              <w:rPr>
                <w:rFonts w:ascii="Times New Roman" w:hAnsi="Times New Roman" w:cs="Times New Roman"/>
                <w:sz w:val="28"/>
                <w:szCs w:val="28"/>
                <w:lang w:val="kk-KZ"/>
              </w:rPr>
            </w:pPr>
          </w:p>
        </w:tc>
      </w:tr>
      <w:tr w:rsidR="003649E4" w:rsidRPr="000F15B4" w14:paraId="4355CC9F" w14:textId="77777777" w:rsidTr="00036BCB">
        <w:tc>
          <w:tcPr>
            <w:tcW w:w="1101" w:type="dxa"/>
            <w:tcBorders>
              <w:top w:val="single" w:sz="4" w:space="0" w:color="auto"/>
              <w:left w:val="single" w:sz="4" w:space="0" w:color="auto"/>
              <w:bottom w:val="single" w:sz="4" w:space="0" w:color="auto"/>
              <w:right w:val="single" w:sz="4" w:space="0" w:color="auto"/>
            </w:tcBorders>
            <w:hideMark/>
          </w:tcPr>
          <w:p w14:paraId="7C1F4C63" w14:textId="77777777" w:rsidR="003649E4" w:rsidRDefault="003649E4" w:rsidP="00036BCB">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8470" w:type="dxa"/>
            <w:tcBorders>
              <w:top w:val="single" w:sz="4" w:space="0" w:color="auto"/>
              <w:left w:val="single" w:sz="4" w:space="0" w:color="auto"/>
              <w:bottom w:val="single" w:sz="4" w:space="0" w:color="auto"/>
              <w:right w:val="single" w:sz="4" w:space="0" w:color="auto"/>
            </w:tcBorders>
            <w:hideMark/>
          </w:tcPr>
          <w:p w14:paraId="57C27563" w14:textId="77777777" w:rsidR="003649E4" w:rsidRPr="0064288F" w:rsidRDefault="003649E4" w:rsidP="00036BCB">
            <w:pPr>
              <w:pStyle w:val="a5"/>
              <w:rPr>
                <w:rFonts w:ascii="Times New Roman" w:hAnsi="Times New Roman" w:cs="Times New Roman"/>
                <w:sz w:val="28"/>
                <w:szCs w:val="28"/>
                <w:lang w:val="kk-KZ"/>
              </w:rPr>
            </w:pPr>
            <w:r w:rsidRPr="0064288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2-тақырып. </w:t>
            </w:r>
            <w:r w:rsidRPr="0064288F">
              <w:rPr>
                <w:rFonts w:ascii="Times New Roman" w:hAnsi="Times New Roman" w:cs="Times New Roman"/>
                <w:sz w:val="28"/>
                <w:szCs w:val="28"/>
                <w:lang w:val="kk-KZ"/>
              </w:rPr>
              <w:t xml:space="preserve">Инвестициялық құқық - құқық жүйесінде. </w:t>
            </w:r>
          </w:p>
          <w:p w14:paraId="5A1E47E1" w14:textId="77777777" w:rsidR="003649E4" w:rsidRPr="00956F33" w:rsidRDefault="003649E4" w:rsidP="003649E4">
            <w:pPr>
              <w:pStyle w:val="a5"/>
              <w:numPr>
                <w:ilvl w:val="0"/>
                <w:numId w:val="2"/>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Инвестициялық құқықтың түсініктері және ерекшеліктері;</w:t>
            </w:r>
          </w:p>
          <w:p w14:paraId="56B878AD" w14:textId="77777777" w:rsidR="003649E4" w:rsidRPr="00956F33" w:rsidRDefault="003649E4" w:rsidP="003649E4">
            <w:pPr>
              <w:pStyle w:val="a5"/>
              <w:numPr>
                <w:ilvl w:val="0"/>
                <w:numId w:val="2"/>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Инвестициялық құқықтың дамуының негізгі кезеңдері;</w:t>
            </w:r>
          </w:p>
          <w:p w14:paraId="7DFA5AF0" w14:textId="77777777" w:rsidR="003649E4" w:rsidRPr="00956F33" w:rsidRDefault="003649E4" w:rsidP="003649E4">
            <w:pPr>
              <w:pStyle w:val="a5"/>
              <w:numPr>
                <w:ilvl w:val="0"/>
                <w:numId w:val="2"/>
              </w:numPr>
              <w:spacing w:after="0" w:line="240" w:lineRule="auto"/>
              <w:jc w:val="both"/>
              <w:rPr>
                <w:rFonts w:ascii="Times New Roman" w:hAnsi="Times New Roman" w:cs="Times New Roman"/>
                <w:sz w:val="24"/>
                <w:szCs w:val="24"/>
              </w:rPr>
            </w:pPr>
            <w:proofErr w:type="spellStart"/>
            <w:r w:rsidRPr="00956F33">
              <w:rPr>
                <w:rFonts w:ascii="Times New Roman" w:hAnsi="Times New Roman" w:cs="Times New Roman"/>
                <w:sz w:val="24"/>
                <w:szCs w:val="24"/>
              </w:rPr>
              <w:t>Инвестициялық</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құқықтың</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реттеу</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пәні</w:t>
            </w:r>
            <w:proofErr w:type="spellEnd"/>
            <w:r w:rsidRPr="00956F33">
              <w:rPr>
                <w:rFonts w:ascii="Times New Roman" w:hAnsi="Times New Roman" w:cs="Times New Roman"/>
                <w:sz w:val="24"/>
                <w:szCs w:val="24"/>
              </w:rPr>
              <w:t xml:space="preserve">; </w:t>
            </w:r>
          </w:p>
          <w:p w14:paraId="087F9E14" w14:textId="77777777" w:rsidR="003649E4" w:rsidRPr="00956F33" w:rsidRDefault="003649E4" w:rsidP="003649E4">
            <w:pPr>
              <w:pStyle w:val="a5"/>
              <w:numPr>
                <w:ilvl w:val="0"/>
                <w:numId w:val="2"/>
              </w:numPr>
              <w:spacing w:after="0" w:line="240" w:lineRule="auto"/>
              <w:jc w:val="both"/>
              <w:rPr>
                <w:rFonts w:ascii="Times New Roman" w:hAnsi="Times New Roman" w:cs="Times New Roman"/>
                <w:sz w:val="24"/>
                <w:szCs w:val="24"/>
              </w:rPr>
            </w:pPr>
            <w:proofErr w:type="spellStart"/>
            <w:r w:rsidRPr="00956F33">
              <w:rPr>
                <w:rFonts w:ascii="Times New Roman" w:hAnsi="Times New Roman" w:cs="Times New Roman"/>
                <w:sz w:val="24"/>
                <w:szCs w:val="24"/>
              </w:rPr>
              <w:t>Инвестициялық</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құқықтың</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реттеу</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пәнінің</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сабақтас</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құқық</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салалары</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пәнімен</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арақатынасы</w:t>
            </w:r>
            <w:proofErr w:type="spellEnd"/>
            <w:r w:rsidRPr="00956F33">
              <w:rPr>
                <w:rFonts w:ascii="Times New Roman" w:hAnsi="Times New Roman" w:cs="Times New Roman"/>
                <w:sz w:val="24"/>
                <w:szCs w:val="24"/>
              </w:rPr>
              <w:t>;</w:t>
            </w:r>
          </w:p>
          <w:p w14:paraId="22E02688" w14:textId="77777777" w:rsidR="003649E4" w:rsidRPr="00956F33" w:rsidRDefault="003649E4" w:rsidP="003649E4">
            <w:pPr>
              <w:pStyle w:val="a5"/>
              <w:numPr>
                <w:ilvl w:val="0"/>
                <w:numId w:val="2"/>
              </w:numPr>
              <w:spacing w:after="0" w:line="240" w:lineRule="auto"/>
              <w:jc w:val="both"/>
              <w:rPr>
                <w:rFonts w:ascii="Times New Roman" w:hAnsi="Times New Roman" w:cs="Times New Roman"/>
                <w:sz w:val="24"/>
                <w:szCs w:val="24"/>
              </w:rPr>
            </w:pPr>
            <w:proofErr w:type="spellStart"/>
            <w:r w:rsidRPr="00956F33">
              <w:rPr>
                <w:rFonts w:ascii="Times New Roman" w:hAnsi="Times New Roman" w:cs="Times New Roman"/>
                <w:sz w:val="24"/>
                <w:szCs w:val="24"/>
              </w:rPr>
              <w:t>Инвестициялық</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құқықтың</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реттеу</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әдістері</w:t>
            </w:r>
            <w:proofErr w:type="spellEnd"/>
            <w:r w:rsidRPr="00956F33">
              <w:rPr>
                <w:rFonts w:ascii="Times New Roman" w:hAnsi="Times New Roman" w:cs="Times New Roman"/>
                <w:sz w:val="24"/>
                <w:szCs w:val="24"/>
              </w:rPr>
              <w:t>;</w:t>
            </w:r>
          </w:p>
          <w:p w14:paraId="0C32EAE7" w14:textId="77777777" w:rsidR="003649E4" w:rsidRPr="00956F33" w:rsidRDefault="003649E4" w:rsidP="003649E4">
            <w:pPr>
              <w:pStyle w:val="a5"/>
              <w:numPr>
                <w:ilvl w:val="0"/>
                <w:numId w:val="2"/>
              </w:numPr>
              <w:spacing w:after="0" w:line="240" w:lineRule="auto"/>
              <w:jc w:val="both"/>
              <w:rPr>
                <w:rFonts w:ascii="Times New Roman" w:hAnsi="Times New Roman" w:cs="Times New Roman"/>
                <w:sz w:val="24"/>
                <w:szCs w:val="24"/>
              </w:rPr>
            </w:pPr>
            <w:r w:rsidRPr="00956F33">
              <w:rPr>
                <w:rFonts w:ascii="Times New Roman" w:hAnsi="Times New Roman" w:cs="Times New Roman"/>
                <w:sz w:val="24"/>
                <w:szCs w:val="24"/>
              </w:rPr>
              <w:t>Инвестициялық құқықтың қағидалары;</w:t>
            </w:r>
          </w:p>
          <w:p w14:paraId="186A5BF0" w14:textId="77777777" w:rsidR="003649E4" w:rsidRPr="00956F33" w:rsidRDefault="003649E4" w:rsidP="003649E4">
            <w:pPr>
              <w:pStyle w:val="a5"/>
              <w:numPr>
                <w:ilvl w:val="0"/>
                <w:numId w:val="2"/>
              </w:numPr>
              <w:spacing w:after="0" w:line="240" w:lineRule="auto"/>
              <w:jc w:val="both"/>
              <w:rPr>
                <w:rFonts w:ascii="Times New Roman" w:hAnsi="Times New Roman" w:cs="Times New Roman"/>
                <w:sz w:val="24"/>
                <w:szCs w:val="24"/>
              </w:rPr>
            </w:pPr>
            <w:r w:rsidRPr="00956F33">
              <w:rPr>
                <w:rFonts w:ascii="Times New Roman" w:hAnsi="Times New Roman" w:cs="Times New Roman"/>
                <w:sz w:val="24"/>
                <w:szCs w:val="24"/>
              </w:rPr>
              <w:t>Инвестициялық құқықтың жүйесі;</w:t>
            </w:r>
          </w:p>
        </w:tc>
      </w:tr>
      <w:tr w:rsidR="003649E4" w:rsidRPr="00DF65FA" w14:paraId="5A849477" w14:textId="77777777" w:rsidTr="00036BCB">
        <w:tc>
          <w:tcPr>
            <w:tcW w:w="1101" w:type="dxa"/>
            <w:tcBorders>
              <w:top w:val="single" w:sz="4" w:space="0" w:color="auto"/>
              <w:left w:val="single" w:sz="4" w:space="0" w:color="auto"/>
              <w:bottom w:val="single" w:sz="4" w:space="0" w:color="auto"/>
              <w:right w:val="single" w:sz="4" w:space="0" w:color="auto"/>
            </w:tcBorders>
            <w:hideMark/>
          </w:tcPr>
          <w:p w14:paraId="4D97BFB6" w14:textId="77777777" w:rsidR="003649E4" w:rsidRDefault="003649E4" w:rsidP="00036BCB">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8470" w:type="dxa"/>
            <w:tcBorders>
              <w:top w:val="single" w:sz="4" w:space="0" w:color="auto"/>
              <w:left w:val="single" w:sz="4" w:space="0" w:color="auto"/>
              <w:bottom w:val="single" w:sz="4" w:space="0" w:color="auto"/>
              <w:right w:val="single" w:sz="4" w:space="0" w:color="auto"/>
            </w:tcBorders>
            <w:hideMark/>
          </w:tcPr>
          <w:p w14:paraId="51A27BB0" w14:textId="77777777" w:rsidR="003649E4" w:rsidRDefault="003649E4" w:rsidP="00036BCB">
            <w:pPr>
              <w:tabs>
                <w:tab w:val="left" w:pos="360"/>
              </w:tabs>
              <w:jc w:val="both"/>
              <w:rPr>
                <w:rFonts w:ascii="Times New Roman" w:hAnsi="Times New Roman" w:cs="Times New Roman"/>
                <w:sz w:val="28"/>
                <w:szCs w:val="28"/>
                <w:lang w:val="kk-KZ"/>
              </w:rPr>
            </w:pPr>
            <w:r w:rsidRPr="00C3727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3-тақырып. </w:t>
            </w:r>
            <w:r w:rsidRPr="00C37273">
              <w:rPr>
                <w:rFonts w:ascii="Times New Roman" w:hAnsi="Times New Roman" w:cs="Times New Roman"/>
                <w:sz w:val="28"/>
                <w:szCs w:val="28"/>
                <w:lang w:val="kk-KZ"/>
              </w:rPr>
              <w:t>Инвестициялық құқықтық нормалардың және қатынастардың түсінігі және ерекшеліктері.</w:t>
            </w:r>
          </w:p>
          <w:p w14:paraId="616FEF38" w14:textId="77777777" w:rsidR="003649E4" w:rsidRPr="00956F33" w:rsidRDefault="003649E4" w:rsidP="003649E4">
            <w:pPr>
              <w:pStyle w:val="a5"/>
              <w:numPr>
                <w:ilvl w:val="0"/>
                <w:numId w:val="3"/>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Инвестициялық – құқықтық нормалардың түсінігі және түрлері, оның құрылымы;</w:t>
            </w:r>
          </w:p>
          <w:p w14:paraId="1E3920D8" w14:textId="77777777" w:rsidR="003649E4" w:rsidRPr="00956F33" w:rsidRDefault="003649E4" w:rsidP="003649E4">
            <w:pPr>
              <w:pStyle w:val="a5"/>
              <w:numPr>
                <w:ilvl w:val="0"/>
                <w:numId w:val="3"/>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Инвестициялық құқықтық қатынастардың түсінігі және жалпы сипаттамасы;</w:t>
            </w:r>
          </w:p>
          <w:p w14:paraId="10ADCEB8" w14:textId="77777777" w:rsidR="003649E4" w:rsidRPr="00956F33" w:rsidRDefault="003649E4" w:rsidP="003649E4">
            <w:pPr>
              <w:pStyle w:val="a5"/>
              <w:numPr>
                <w:ilvl w:val="0"/>
                <w:numId w:val="3"/>
              </w:numPr>
              <w:spacing w:after="0" w:line="240" w:lineRule="auto"/>
              <w:jc w:val="both"/>
              <w:rPr>
                <w:rFonts w:ascii="Times New Roman" w:hAnsi="Times New Roman" w:cs="Times New Roman"/>
                <w:sz w:val="24"/>
                <w:szCs w:val="24"/>
              </w:rPr>
            </w:pPr>
            <w:r w:rsidRPr="00956F33">
              <w:rPr>
                <w:rFonts w:ascii="Times New Roman" w:hAnsi="Times New Roman" w:cs="Times New Roman"/>
                <w:sz w:val="24"/>
                <w:szCs w:val="24"/>
              </w:rPr>
              <w:t>Инвестициялық құқықтық қатынастардың құрылымы;</w:t>
            </w:r>
          </w:p>
          <w:p w14:paraId="76E030EC" w14:textId="77777777" w:rsidR="003649E4" w:rsidRPr="00956F33" w:rsidRDefault="003649E4" w:rsidP="003649E4">
            <w:pPr>
              <w:pStyle w:val="a5"/>
              <w:numPr>
                <w:ilvl w:val="0"/>
                <w:numId w:val="3"/>
              </w:numPr>
              <w:spacing w:after="0" w:line="240" w:lineRule="auto"/>
              <w:jc w:val="both"/>
              <w:rPr>
                <w:rFonts w:ascii="Times New Roman" w:hAnsi="Times New Roman" w:cs="Times New Roman"/>
                <w:sz w:val="24"/>
                <w:szCs w:val="24"/>
              </w:rPr>
            </w:pPr>
            <w:proofErr w:type="spellStart"/>
            <w:r w:rsidRPr="00956F33">
              <w:rPr>
                <w:rFonts w:ascii="Times New Roman" w:hAnsi="Times New Roman" w:cs="Times New Roman"/>
                <w:sz w:val="24"/>
                <w:szCs w:val="24"/>
              </w:rPr>
              <w:t>Инвестициялық</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құқықтық</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қатынастардың</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өзіне</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тән</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белгілері</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және</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ерекшеліктері</w:t>
            </w:r>
            <w:proofErr w:type="spellEnd"/>
            <w:r w:rsidRPr="00956F33">
              <w:rPr>
                <w:rFonts w:ascii="Times New Roman" w:hAnsi="Times New Roman" w:cs="Times New Roman"/>
                <w:sz w:val="24"/>
                <w:szCs w:val="24"/>
              </w:rPr>
              <w:t>;</w:t>
            </w:r>
          </w:p>
          <w:p w14:paraId="11C1C3E6" w14:textId="77777777" w:rsidR="003649E4" w:rsidRPr="00956F33" w:rsidRDefault="003649E4" w:rsidP="003649E4">
            <w:pPr>
              <w:pStyle w:val="a5"/>
              <w:numPr>
                <w:ilvl w:val="0"/>
                <w:numId w:val="3"/>
              </w:numPr>
              <w:spacing w:after="0" w:line="240" w:lineRule="auto"/>
              <w:jc w:val="both"/>
              <w:rPr>
                <w:rFonts w:ascii="Times New Roman" w:hAnsi="Times New Roman" w:cs="Times New Roman"/>
                <w:sz w:val="24"/>
                <w:szCs w:val="24"/>
              </w:rPr>
            </w:pPr>
            <w:proofErr w:type="spellStart"/>
            <w:r w:rsidRPr="00956F33">
              <w:rPr>
                <w:rFonts w:ascii="Times New Roman" w:hAnsi="Times New Roman" w:cs="Times New Roman"/>
                <w:sz w:val="24"/>
                <w:szCs w:val="24"/>
              </w:rPr>
              <w:t>Инвестициялық</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құқықтық</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қатынастардың</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өзіне</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тән</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белгілері</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және</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ерекшеліктері</w:t>
            </w:r>
            <w:proofErr w:type="spellEnd"/>
            <w:r w:rsidRPr="00956F33">
              <w:rPr>
                <w:rFonts w:ascii="Times New Roman" w:hAnsi="Times New Roman" w:cs="Times New Roman"/>
                <w:sz w:val="24"/>
                <w:szCs w:val="24"/>
              </w:rPr>
              <w:t>;</w:t>
            </w:r>
          </w:p>
          <w:p w14:paraId="51851343" w14:textId="77777777" w:rsidR="003649E4" w:rsidRPr="00956F33" w:rsidRDefault="003649E4" w:rsidP="003649E4">
            <w:pPr>
              <w:pStyle w:val="a5"/>
              <w:numPr>
                <w:ilvl w:val="0"/>
                <w:numId w:val="3"/>
              </w:numPr>
              <w:spacing w:after="0" w:line="240" w:lineRule="auto"/>
              <w:jc w:val="both"/>
              <w:rPr>
                <w:rFonts w:ascii="Times New Roman" w:hAnsi="Times New Roman" w:cs="Times New Roman"/>
                <w:sz w:val="24"/>
                <w:szCs w:val="24"/>
              </w:rPr>
            </w:pPr>
            <w:proofErr w:type="spellStart"/>
            <w:r w:rsidRPr="00956F33">
              <w:rPr>
                <w:rFonts w:ascii="Times New Roman" w:hAnsi="Times New Roman" w:cs="Times New Roman"/>
                <w:sz w:val="24"/>
                <w:szCs w:val="24"/>
              </w:rPr>
              <w:t>Инвестициялық</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құқықтық</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қатынастардың</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субъектілері</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инвестициялық</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құқықтық</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қатынастар</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субъектілері</w:t>
            </w:r>
            <w:proofErr w:type="spellEnd"/>
            <w:r w:rsidRPr="00956F33">
              <w:rPr>
                <w:rFonts w:ascii="Times New Roman" w:hAnsi="Times New Roman" w:cs="Times New Roman"/>
                <w:sz w:val="24"/>
                <w:szCs w:val="24"/>
              </w:rPr>
              <w:t xml:space="preserve"> мен </w:t>
            </w:r>
            <w:proofErr w:type="spellStart"/>
            <w:r w:rsidRPr="00956F33">
              <w:rPr>
                <w:rFonts w:ascii="Times New Roman" w:hAnsi="Times New Roman" w:cs="Times New Roman"/>
                <w:sz w:val="24"/>
                <w:szCs w:val="24"/>
              </w:rPr>
              <w:t>сыртқы</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экономикалық</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қызметтер</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субъектілері</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түсініктерінің</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арақатынасы</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инвестициялық</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құқықтық</w:t>
            </w:r>
            <w:proofErr w:type="spellEnd"/>
            <w:r w:rsidRPr="00956F33">
              <w:rPr>
                <w:rFonts w:ascii="Times New Roman" w:hAnsi="Times New Roman" w:cs="Times New Roman"/>
                <w:sz w:val="24"/>
                <w:szCs w:val="24"/>
              </w:rPr>
              <w:t xml:space="preserve"> қатынастар субъектілерінің түрлері. </w:t>
            </w:r>
            <w:proofErr w:type="spellStart"/>
            <w:r w:rsidRPr="00956F33">
              <w:rPr>
                <w:rFonts w:ascii="Times New Roman" w:hAnsi="Times New Roman" w:cs="Times New Roman"/>
                <w:sz w:val="24"/>
                <w:szCs w:val="24"/>
              </w:rPr>
              <w:t>Мемлекет</w:t>
            </w:r>
            <w:proofErr w:type="spellEnd"/>
            <w:r w:rsidRPr="00956F33">
              <w:rPr>
                <w:rFonts w:ascii="Times New Roman" w:hAnsi="Times New Roman" w:cs="Times New Roman"/>
                <w:sz w:val="24"/>
                <w:szCs w:val="24"/>
              </w:rPr>
              <w:t xml:space="preserve"> - </w:t>
            </w:r>
            <w:proofErr w:type="spellStart"/>
            <w:r w:rsidRPr="00956F33">
              <w:rPr>
                <w:rFonts w:ascii="Times New Roman" w:hAnsi="Times New Roman" w:cs="Times New Roman"/>
                <w:sz w:val="24"/>
                <w:szCs w:val="24"/>
              </w:rPr>
              <w:t>инвестициялық</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құқықтық</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қатынастар</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субъектісі</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ретінде</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Ұлттық</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және</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шетелдік</w:t>
            </w:r>
            <w:proofErr w:type="spellEnd"/>
            <w:r w:rsidRPr="00956F33">
              <w:rPr>
                <w:rFonts w:ascii="Times New Roman" w:hAnsi="Times New Roman" w:cs="Times New Roman"/>
                <w:sz w:val="24"/>
                <w:szCs w:val="24"/>
              </w:rPr>
              <w:t xml:space="preserve"> инвестор;</w:t>
            </w:r>
          </w:p>
          <w:p w14:paraId="7940E0D4" w14:textId="77777777" w:rsidR="003649E4" w:rsidRPr="00956F33" w:rsidRDefault="003649E4" w:rsidP="003649E4">
            <w:pPr>
              <w:pStyle w:val="a5"/>
              <w:numPr>
                <w:ilvl w:val="0"/>
                <w:numId w:val="3"/>
              </w:numPr>
              <w:spacing w:after="0" w:line="240" w:lineRule="auto"/>
              <w:jc w:val="both"/>
              <w:rPr>
                <w:rFonts w:ascii="Times New Roman" w:hAnsi="Times New Roman" w:cs="Times New Roman"/>
                <w:sz w:val="24"/>
                <w:szCs w:val="24"/>
              </w:rPr>
            </w:pPr>
            <w:proofErr w:type="spellStart"/>
            <w:r w:rsidRPr="00956F33">
              <w:rPr>
                <w:rFonts w:ascii="Times New Roman" w:hAnsi="Times New Roman" w:cs="Times New Roman"/>
                <w:sz w:val="24"/>
                <w:szCs w:val="24"/>
              </w:rPr>
              <w:t>инвестициялық</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құқықтық</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қатынастардың</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объектілері</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және</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оның</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түрлері</w:t>
            </w:r>
            <w:proofErr w:type="spellEnd"/>
            <w:r w:rsidRPr="00956F33">
              <w:rPr>
                <w:rFonts w:ascii="Times New Roman" w:hAnsi="Times New Roman" w:cs="Times New Roman"/>
                <w:sz w:val="24"/>
                <w:szCs w:val="24"/>
              </w:rPr>
              <w:t>.</w:t>
            </w:r>
          </w:p>
          <w:p w14:paraId="48FE3002" w14:textId="77777777" w:rsidR="003649E4" w:rsidRPr="00956F33" w:rsidRDefault="003649E4" w:rsidP="00036BCB">
            <w:pPr>
              <w:tabs>
                <w:tab w:val="left" w:pos="360"/>
              </w:tabs>
              <w:jc w:val="both"/>
              <w:rPr>
                <w:rFonts w:ascii="Times New Roman" w:hAnsi="Times New Roman" w:cs="Times New Roman"/>
                <w:sz w:val="28"/>
                <w:szCs w:val="28"/>
              </w:rPr>
            </w:pPr>
          </w:p>
        </w:tc>
      </w:tr>
      <w:tr w:rsidR="003649E4" w:rsidRPr="003649E4" w14:paraId="77B7AB46" w14:textId="77777777" w:rsidTr="00036BCB">
        <w:tc>
          <w:tcPr>
            <w:tcW w:w="1101" w:type="dxa"/>
            <w:tcBorders>
              <w:top w:val="single" w:sz="4" w:space="0" w:color="auto"/>
              <w:left w:val="single" w:sz="4" w:space="0" w:color="auto"/>
              <w:bottom w:val="single" w:sz="4" w:space="0" w:color="auto"/>
              <w:right w:val="single" w:sz="4" w:space="0" w:color="auto"/>
            </w:tcBorders>
            <w:hideMark/>
          </w:tcPr>
          <w:p w14:paraId="2B408DF8" w14:textId="77777777" w:rsidR="003649E4" w:rsidRDefault="003649E4" w:rsidP="00036BCB">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8470" w:type="dxa"/>
            <w:tcBorders>
              <w:top w:val="single" w:sz="4" w:space="0" w:color="auto"/>
              <w:left w:val="single" w:sz="4" w:space="0" w:color="auto"/>
              <w:bottom w:val="single" w:sz="4" w:space="0" w:color="auto"/>
              <w:right w:val="single" w:sz="4" w:space="0" w:color="auto"/>
            </w:tcBorders>
            <w:hideMark/>
          </w:tcPr>
          <w:p w14:paraId="66933CC8" w14:textId="77777777" w:rsidR="003649E4" w:rsidRDefault="003649E4" w:rsidP="00036BCB">
            <w:pPr>
              <w:tabs>
                <w:tab w:val="left" w:pos="360"/>
              </w:tabs>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4-тақырып. </w:t>
            </w:r>
            <w:r w:rsidRPr="00C37273">
              <w:rPr>
                <w:rFonts w:ascii="Times New Roman" w:hAnsi="Times New Roman" w:cs="Times New Roman"/>
                <w:sz w:val="28"/>
                <w:szCs w:val="28"/>
                <w:lang w:val="kk-KZ"/>
              </w:rPr>
              <w:t xml:space="preserve">Қазақстан Республикасында шетел инвесторларының инвестициялық қызметтерді жүзеге асыруының нысандары. </w:t>
            </w:r>
          </w:p>
          <w:p w14:paraId="398FAEC1" w14:textId="77777777" w:rsidR="003649E4" w:rsidRPr="00956F33" w:rsidRDefault="003649E4" w:rsidP="003649E4">
            <w:pPr>
              <w:pStyle w:val="a5"/>
              <w:numPr>
                <w:ilvl w:val="0"/>
                <w:numId w:val="4"/>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ҚР-дағы шетел инветорлары қызметінің құқықтық сипаттамасы;</w:t>
            </w:r>
          </w:p>
          <w:p w14:paraId="583003BE" w14:textId="77777777" w:rsidR="003649E4" w:rsidRPr="00956F33" w:rsidRDefault="003649E4" w:rsidP="003649E4">
            <w:pPr>
              <w:pStyle w:val="a5"/>
              <w:numPr>
                <w:ilvl w:val="0"/>
                <w:numId w:val="4"/>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“Шетел инвесторлары” және “сыртқы экономикалық қызмет субъектісі” түсініктерінің арақатынасы;</w:t>
            </w:r>
          </w:p>
          <w:p w14:paraId="450C83DD" w14:textId="77777777" w:rsidR="003649E4" w:rsidRPr="00956F33" w:rsidRDefault="003649E4" w:rsidP="003649E4">
            <w:pPr>
              <w:pStyle w:val="a5"/>
              <w:numPr>
                <w:ilvl w:val="0"/>
                <w:numId w:val="4"/>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ҚР-да шетел инвесторларының инвестициялық қызметті жүзеге асыру нысандары;</w:t>
            </w:r>
          </w:p>
          <w:p w14:paraId="0C2B8816" w14:textId="77777777" w:rsidR="003649E4" w:rsidRPr="00956F33" w:rsidRDefault="003649E4" w:rsidP="003649E4">
            <w:pPr>
              <w:pStyle w:val="a5"/>
              <w:numPr>
                <w:ilvl w:val="0"/>
                <w:numId w:val="4"/>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Шетелдік қатысушысы бар кәсіпорындарының құқықтық мәртебесі, бірлескен кәсіпорындар;</w:t>
            </w:r>
          </w:p>
          <w:p w14:paraId="7D105C73" w14:textId="77777777" w:rsidR="003649E4" w:rsidRPr="00956F33" w:rsidRDefault="003649E4" w:rsidP="003649E4">
            <w:pPr>
              <w:pStyle w:val="a5"/>
              <w:numPr>
                <w:ilvl w:val="0"/>
                <w:numId w:val="4"/>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lastRenderedPageBreak/>
              <w:t>Шетелдік қатысушысы бар заңды тұлғаны құру тәртібі;</w:t>
            </w:r>
          </w:p>
        </w:tc>
      </w:tr>
      <w:tr w:rsidR="003649E4" w:rsidRPr="000F15B4" w14:paraId="410B83C4" w14:textId="77777777" w:rsidTr="00036BCB">
        <w:tc>
          <w:tcPr>
            <w:tcW w:w="1101" w:type="dxa"/>
            <w:tcBorders>
              <w:top w:val="single" w:sz="4" w:space="0" w:color="auto"/>
              <w:left w:val="single" w:sz="4" w:space="0" w:color="auto"/>
              <w:bottom w:val="single" w:sz="4" w:space="0" w:color="auto"/>
              <w:right w:val="single" w:sz="4" w:space="0" w:color="auto"/>
            </w:tcBorders>
            <w:hideMark/>
          </w:tcPr>
          <w:p w14:paraId="5C32943D" w14:textId="77777777" w:rsidR="003649E4" w:rsidRDefault="003649E4" w:rsidP="00036BCB">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5</w:t>
            </w:r>
          </w:p>
        </w:tc>
        <w:tc>
          <w:tcPr>
            <w:tcW w:w="8470" w:type="dxa"/>
            <w:tcBorders>
              <w:top w:val="single" w:sz="4" w:space="0" w:color="auto"/>
              <w:left w:val="single" w:sz="4" w:space="0" w:color="auto"/>
              <w:bottom w:val="single" w:sz="4" w:space="0" w:color="auto"/>
              <w:right w:val="single" w:sz="4" w:space="0" w:color="auto"/>
            </w:tcBorders>
            <w:hideMark/>
          </w:tcPr>
          <w:p w14:paraId="1B6DD316" w14:textId="77777777" w:rsidR="003649E4" w:rsidRDefault="003649E4" w:rsidP="00036BCB">
            <w:pPr>
              <w:tabs>
                <w:tab w:val="left" w:pos="360"/>
              </w:tabs>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5-тақырып. </w:t>
            </w:r>
            <w:r w:rsidRPr="00C37273">
              <w:rPr>
                <w:rFonts w:ascii="Times New Roman" w:hAnsi="Times New Roman" w:cs="Times New Roman"/>
                <w:sz w:val="28"/>
                <w:szCs w:val="28"/>
                <w:lang w:val="kk-KZ"/>
              </w:rPr>
              <w:t xml:space="preserve">Инвестициялық контрактілер. </w:t>
            </w:r>
          </w:p>
          <w:p w14:paraId="5F47AE2F" w14:textId="77777777" w:rsidR="003649E4" w:rsidRPr="00956F33" w:rsidRDefault="003649E4" w:rsidP="003649E4">
            <w:pPr>
              <w:pStyle w:val="a5"/>
              <w:numPr>
                <w:ilvl w:val="0"/>
                <w:numId w:val="5"/>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Инвестициялық контракт түсінігі. Оның құқықтық табиғаты;</w:t>
            </w:r>
          </w:p>
          <w:p w14:paraId="5BF22DF2" w14:textId="77777777" w:rsidR="003649E4" w:rsidRPr="00956F33" w:rsidRDefault="003649E4" w:rsidP="003649E4">
            <w:pPr>
              <w:pStyle w:val="a5"/>
              <w:numPr>
                <w:ilvl w:val="0"/>
                <w:numId w:val="5"/>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“Контракт”, “шарт”, “мәміле” түсініктерінің арақатынасы;</w:t>
            </w:r>
          </w:p>
          <w:p w14:paraId="74D973D4" w14:textId="77777777" w:rsidR="003649E4" w:rsidRPr="00956F33" w:rsidRDefault="003649E4" w:rsidP="003649E4">
            <w:pPr>
              <w:pStyle w:val="a5"/>
              <w:numPr>
                <w:ilvl w:val="0"/>
                <w:numId w:val="5"/>
              </w:numPr>
              <w:spacing w:after="0" w:line="240" w:lineRule="auto"/>
              <w:jc w:val="both"/>
              <w:rPr>
                <w:rFonts w:ascii="Times New Roman" w:hAnsi="Times New Roman" w:cs="Times New Roman"/>
                <w:sz w:val="24"/>
                <w:szCs w:val="24"/>
              </w:rPr>
            </w:pPr>
            <w:proofErr w:type="spellStart"/>
            <w:r w:rsidRPr="00956F33">
              <w:rPr>
                <w:rFonts w:ascii="Times New Roman" w:hAnsi="Times New Roman" w:cs="Times New Roman"/>
                <w:sz w:val="24"/>
                <w:szCs w:val="24"/>
              </w:rPr>
              <w:t>Инвестициялық</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контрактілерінің</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объектілері</w:t>
            </w:r>
            <w:proofErr w:type="spellEnd"/>
            <w:r w:rsidRPr="00956F33">
              <w:rPr>
                <w:rFonts w:ascii="Times New Roman" w:hAnsi="Times New Roman" w:cs="Times New Roman"/>
                <w:sz w:val="24"/>
                <w:szCs w:val="24"/>
              </w:rPr>
              <w:t>;</w:t>
            </w:r>
          </w:p>
          <w:p w14:paraId="553D80D4" w14:textId="77777777" w:rsidR="003649E4" w:rsidRPr="00956F33" w:rsidRDefault="003649E4" w:rsidP="003649E4">
            <w:pPr>
              <w:pStyle w:val="a5"/>
              <w:numPr>
                <w:ilvl w:val="0"/>
                <w:numId w:val="5"/>
              </w:numPr>
              <w:spacing w:after="0" w:line="240" w:lineRule="auto"/>
              <w:jc w:val="both"/>
              <w:rPr>
                <w:rFonts w:ascii="Times New Roman" w:hAnsi="Times New Roman" w:cs="Times New Roman"/>
                <w:sz w:val="24"/>
                <w:szCs w:val="24"/>
              </w:rPr>
            </w:pPr>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Инвестициялық</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контрактілердің</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субъектілері</w:t>
            </w:r>
            <w:proofErr w:type="spellEnd"/>
            <w:r w:rsidRPr="00956F33">
              <w:rPr>
                <w:rFonts w:ascii="Times New Roman" w:hAnsi="Times New Roman" w:cs="Times New Roman"/>
                <w:sz w:val="24"/>
                <w:szCs w:val="24"/>
              </w:rPr>
              <w:t>;</w:t>
            </w:r>
          </w:p>
          <w:p w14:paraId="338425C0" w14:textId="77777777" w:rsidR="003649E4" w:rsidRPr="00956F33" w:rsidRDefault="003649E4" w:rsidP="003649E4">
            <w:pPr>
              <w:pStyle w:val="a5"/>
              <w:numPr>
                <w:ilvl w:val="0"/>
                <w:numId w:val="5"/>
              </w:numPr>
              <w:spacing w:after="0" w:line="240" w:lineRule="auto"/>
              <w:jc w:val="both"/>
              <w:rPr>
                <w:rFonts w:ascii="Times New Roman" w:hAnsi="Times New Roman" w:cs="Times New Roman"/>
                <w:sz w:val="24"/>
                <w:szCs w:val="24"/>
              </w:rPr>
            </w:pPr>
            <w:r w:rsidRPr="00956F33">
              <w:rPr>
                <w:rFonts w:ascii="Times New Roman" w:hAnsi="Times New Roman" w:cs="Times New Roman"/>
                <w:sz w:val="24"/>
                <w:szCs w:val="24"/>
              </w:rPr>
              <w:t xml:space="preserve">Инвестициялық контрактілерінің мазмұны. </w:t>
            </w:r>
            <w:proofErr w:type="spellStart"/>
            <w:r w:rsidRPr="00956F33">
              <w:rPr>
                <w:rFonts w:ascii="Times New Roman" w:hAnsi="Times New Roman" w:cs="Times New Roman"/>
                <w:sz w:val="24"/>
                <w:szCs w:val="24"/>
              </w:rPr>
              <w:t>Жер</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қойнауы</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саласындағы</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инвестициялық</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контрактілер</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Преференциялар</w:t>
            </w:r>
            <w:proofErr w:type="spellEnd"/>
            <w:r w:rsidRPr="00956F33">
              <w:rPr>
                <w:rFonts w:ascii="Times New Roman" w:hAnsi="Times New Roman" w:cs="Times New Roman"/>
                <w:sz w:val="24"/>
                <w:szCs w:val="24"/>
              </w:rPr>
              <w:t xml:space="preserve"> беру </w:t>
            </w:r>
            <w:proofErr w:type="spellStart"/>
            <w:r w:rsidRPr="00956F33">
              <w:rPr>
                <w:rFonts w:ascii="Times New Roman" w:hAnsi="Times New Roman" w:cs="Times New Roman"/>
                <w:sz w:val="24"/>
                <w:szCs w:val="24"/>
              </w:rPr>
              <w:t>жөніндегі</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контрактілер</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Бекітілген</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инвесторлармен</w:t>
            </w:r>
            <w:proofErr w:type="spellEnd"/>
            <w:r w:rsidRPr="00956F33">
              <w:rPr>
                <w:rFonts w:ascii="Times New Roman" w:hAnsi="Times New Roman" w:cs="Times New Roman"/>
                <w:sz w:val="24"/>
                <w:szCs w:val="24"/>
              </w:rPr>
              <w:t>);</w:t>
            </w:r>
          </w:p>
          <w:p w14:paraId="6FA8FD54" w14:textId="77777777" w:rsidR="003649E4" w:rsidRPr="00C37273" w:rsidRDefault="003649E4" w:rsidP="00036BCB">
            <w:pPr>
              <w:tabs>
                <w:tab w:val="left" w:pos="360"/>
              </w:tabs>
              <w:jc w:val="both"/>
              <w:rPr>
                <w:rFonts w:ascii="Times New Roman" w:hAnsi="Times New Roman" w:cs="Times New Roman"/>
                <w:sz w:val="28"/>
                <w:szCs w:val="28"/>
                <w:lang w:val="kk-KZ"/>
              </w:rPr>
            </w:pPr>
          </w:p>
        </w:tc>
      </w:tr>
      <w:tr w:rsidR="003649E4" w:rsidRPr="000F15B4" w14:paraId="3A86E81D" w14:textId="77777777" w:rsidTr="00036BCB">
        <w:tc>
          <w:tcPr>
            <w:tcW w:w="1101" w:type="dxa"/>
            <w:tcBorders>
              <w:top w:val="single" w:sz="4" w:space="0" w:color="auto"/>
              <w:left w:val="single" w:sz="4" w:space="0" w:color="auto"/>
              <w:bottom w:val="single" w:sz="4" w:space="0" w:color="auto"/>
              <w:right w:val="single" w:sz="4" w:space="0" w:color="auto"/>
            </w:tcBorders>
            <w:hideMark/>
          </w:tcPr>
          <w:p w14:paraId="71CAC09B" w14:textId="77777777" w:rsidR="003649E4" w:rsidRDefault="003649E4" w:rsidP="00036BCB">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8470" w:type="dxa"/>
            <w:tcBorders>
              <w:top w:val="single" w:sz="4" w:space="0" w:color="auto"/>
              <w:left w:val="single" w:sz="4" w:space="0" w:color="auto"/>
              <w:bottom w:val="single" w:sz="4" w:space="0" w:color="auto"/>
              <w:right w:val="single" w:sz="4" w:space="0" w:color="auto"/>
            </w:tcBorders>
            <w:hideMark/>
          </w:tcPr>
          <w:p w14:paraId="0A4BE250" w14:textId="77777777" w:rsidR="003649E4" w:rsidRDefault="003649E4" w:rsidP="00036BCB">
            <w:pPr>
              <w:tabs>
                <w:tab w:val="left" w:pos="360"/>
              </w:tabs>
              <w:jc w:val="both"/>
              <w:rPr>
                <w:rFonts w:ascii="Times New Roman" w:hAnsi="Times New Roman" w:cs="Times New Roman"/>
                <w:sz w:val="28"/>
                <w:szCs w:val="28"/>
                <w:lang w:val="kk-KZ"/>
              </w:rPr>
            </w:pPr>
            <w:r w:rsidRPr="00C3727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6-тақырып. </w:t>
            </w:r>
            <w:r w:rsidRPr="00C37273">
              <w:rPr>
                <w:rFonts w:ascii="Times New Roman" w:hAnsi="Times New Roman" w:cs="Times New Roman"/>
                <w:sz w:val="28"/>
                <w:szCs w:val="28"/>
                <w:lang w:val="kk-KZ"/>
              </w:rPr>
              <w:t xml:space="preserve">Инвестициялардың құқықтық режимі. </w:t>
            </w:r>
          </w:p>
          <w:p w14:paraId="1C35CF09" w14:textId="77777777" w:rsidR="003649E4" w:rsidRPr="00956F33" w:rsidRDefault="003649E4" w:rsidP="003649E4">
            <w:pPr>
              <w:pStyle w:val="a5"/>
              <w:numPr>
                <w:ilvl w:val="0"/>
                <w:numId w:val="6"/>
              </w:numPr>
              <w:spacing w:after="0" w:line="240" w:lineRule="auto"/>
              <w:jc w:val="both"/>
              <w:rPr>
                <w:rFonts w:ascii="Times New Roman" w:hAnsi="Times New Roman" w:cs="Times New Roman"/>
                <w:sz w:val="24"/>
                <w:szCs w:val="24"/>
              </w:rPr>
            </w:pPr>
            <w:r w:rsidRPr="00956F33">
              <w:rPr>
                <w:rFonts w:ascii="Times New Roman" w:hAnsi="Times New Roman" w:cs="Times New Roman"/>
                <w:sz w:val="24"/>
                <w:szCs w:val="24"/>
                <w:lang w:val="kk-KZ"/>
              </w:rPr>
              <w:t xml:space="preserve">Инвестициялардың құқықтық режимінің түсінігі және түрлері. </w:t>
            </w:r>
            <w:r w:rsidRPr="00956F33">
              <w:rPr>
                <w:rFonts w:ascii="Times New Roman" w:hAnsi="Times New Roman" w:cs="Times New Roman"/>
                <w:sz w:val="24"/>
                <w:szCs w:val="24"/>
              </w:rPr>
              <w:t xml:space="preserve">Ұлттық режим. </w:t>
            </w:r>
            <w:proofErr w:type="spellStart"/>
            <w:r w:rsidRPr="00956F33">
              <w:rPr>
                <w:rFonts w:ascii="Times New Roman" w:hAnsi="Times New Roman" w:cs="Times New Roman"/>
                <w:sz w:val="24"/>
                <w:szCs w:val="24"/>
              </w:rPr>
              <w:t>Қолайлы</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жағдай</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режимі</w:t>
            </w:r>
            <w:proofErr w:type="spellEnd"/>
            <w:r w:rsidRPr="00956F33">
              <w:rPr>
                <w:rFonts w:ascii="Times New Roman" w:hAnsi="Times New Roman" w:cs="Times New Roman"/>
                <w:sz w:val="24"/>
                <w:szCs w:val="24"/>
              </w:rPr>
              <w:t>.</w:t>
            </w:r>
          </w:p>
          <w:p w14:paraId="57545A0B" w14:textId="77777777" w:rsidR="003649E4" w:rsidRPr="00956F33" w:rsidRDefault="003649E4" w:rsidP="003649E4">
            <w:pPr>
              <w:pStyle w:val="a5"/>
              <w:numPr>
                <w:ilvl w:val="0"/>
                <w:numId w:val="6"/>
              </w:numPr>
              <w:spacing w:after="0" w:line="240" w:lineRule="auto"/>
              <w:jc w:val="both"/>
              <w:rPr>
                <w:rFonts w:ascii="Times New Roman" w:hAnsi="Times New Roman" w:cs="Times New Roman"/>
                <w:sz w:val="24"/>
                <w:szCs w:val="24"/>
              </w:rPr>
            </w:pPr>
            <w:r w:rsidRPr="00956F33">
              <w:rPr>
                <w:rFonts w:ascii="Times New Roman" w:hAnsi="Times New Roman" w:cs="Times New Roman"/>
                <w:sz w:val="24"/>
                <w:szCs w:val="24"/>
              </w:rPr>
              <w:t xml:space="preserve">ҚР </w:t>
            </w:r>
            <w:proofErr w:type="spellStart"/>
            <w:r w:rsidRPr="00956F33">
              <w:rPr>
                <w:rFonts w:ascii="Times New Roman" w:hAnsi="Times New Roman" w:cs="Times New Roman"/>
                <w:sz w:val="24"/>
                <w:szCs w:val="24"/>
              </w:rPr>
              <w:t>инвесторлар</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меншігін</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құқықтық</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қорғау</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кепілдіктері</w:t>
            </w:r>
            <w:proofErr w:type="spellEnd"/>
            <w:r w:rsidRPr="00956F33">
              <w:rPr>
                <w:rFonts w:ascii="Times New Roman" w:hAnsi="Times New Roman" w:cs="Times New Roman"/>
                <w:sz w:val="24"/>
                <w:szCs w:val="24"/>
              </w:rPr>
              <w:t>.</w:t>
            </w:r>
          </w:p>
          <w:p w14:paraId="5A0F46AA" w14:textId="77777777" w:rsidR="003649E4" w:rsidRPr="00956F33" w:rsidRDefault="003649E4" w:rsidP="003649E4">
            <w:pPr>
              <w:pStyle w:val="a5"/>
              <w:numPr>
                <w:ilvl w:val="0"/>
                <w:numId w:val="6"/>
              </w:numPr>
              <w:spacing w:after="0" w:line="240" w:lineRule="auto"/>
              <w:jc w:val="both"/>
              <w:rPr>
                <w:rFonts w:ascii="Times New Roman" w:hAnsi="Times New Roman" w:cs="Times New Roman"/>
                <w:sz w:val="24"/>
                <w:szCs w:val="24"/>
              </w:rPr>
            </w:pPr>
            <w:proofErr w:type="spellStart"/>
            <w:r w:rsidRPr="00956F33">
              <w:rPr>
                <w:rFonts w:ascii="Times New Roman" w:hAnsi="Times New Roman" w:cs="Times New Roman"/>
                <w:sz w:val="24"/>
                <w:szCs w:val="24"/>
              </w:rPr>
              <w:t>Кірістерді</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пайдалануға</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кепілдік</w:t>
            </w:r>
            <w:proofErr w:type="spellEnd"/>
            <w:r w:rsidRPr="00956F33">
              <w:rPr>
                <w:rFonts w:ascii="Times New Roman" w:hAnsi="Times New Roman" w:cs="Times New Roman"/>
                <w:sz w:val="24"/>
                <w:szCs w:val="24"/>
              </w:rPr>
              <w:t>;</w:t>
            </w:r>
          </w:p>
          <w:p w14:paraId="1716CC77" w14:textId="77777777" w:rsidR="003649E4" w:rsidRPr="00956F33" w:rsidRDefault="003649E4" w:rsidP="003649E4">
            <w:pPr>
              <w:pStyle w:val="a5"/>
              <w:numPr>
                <w:ilvl w:val="0"/>
                <w:numId w:val="6"/>
              </w:numPr>
              <w:spacing w:after="0" w:line="240" w:lineRule="auto"/>
              <w:jc w:val="both"/>
              <w:rPr>
                <w:rFonts w:ascii="Times New Roman" w:hAnsi="Times New Roman" w:cs="Times New Roman"/>
                <w:sz w:val="24"/>
                <w:szCs w:val="24"/>
              </w:rPr>
            </w:pPr>
            <w:proofErr w:type="spellStart"/>
            <w:r w:rsidRPr="00956F33">
              <w:rPr>
                <w:rFonts w:ascii="Times New Roman" w:hAnsi="Times New Roman" w:cs="Times New Roman"/>
                <w:sz w:val="24"/>
                <w:szCs w:val="24"/>
              </w:rPr>
              <w:t>Мемлекеттік</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органдардың</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инвесторларға</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қатысты</w:t>
            </w:r>
            <w:proofErr w:type="spellEnd"/>
            <w:r w:rsidRPr="00956F33">
              <w:rPr>
                <w:rFonts w:ascii="Times New Roman" w:hAnsi="Times New Roman" w:cs="Times New Roman"/>
                <w:sz w:val="24"/>
                <w:szCs w:val="24"/>
              </w:rPr>
              <w:t xml:space="preserve"> қызметінің жариялылығы.</w:t>
            </w:r>
          </w:p>
          <w:p w14:paraId="60AEA980" w14:textId="77777777" w:rsidR="003649E4" w:rsidRPr="00956F33" w:rsidRDefault="003649E4" w:rsidP="003649E4">
            <w:pPr>
              <w:pStyle w:val="a5"/>
              <w:numPr>
                <w:ilvl w:val="0"/>
                <w:numId w:val="6"/>
              </w:numPr>
              <w:spacing w:after="0" w:line="240" w:lineRule="auto"/>
              <w:jc w:val="both"/>
              <w:rPr>
                <w:rFonts w:ascii="Times New Roman" w:hAnsi="Times New Roman" w:cs="Times New Roman"/>
                <w:sz w:val="24"/>
                <w:szCs w:val="24"/>
              </w:rPr>
            </w:pPr>
            <w:proofErr w:type="spellStart"/>
            <w:r w:rsidRPr="00956F33">
              <w:rPr>
                <w:rFonts w:ascii="Times New Roman" w:hAnsi="Times New Roman" w:cs="Times New Roman"/>
                <w:sz w:val="24"/>
                <w:szCs w:val="24"/>
              </w:rPr>
              <w:t>Мемлекеттік</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органдардың</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инвесторлар</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қызметін</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бақылау</w:t>
            </w:r>
            <w:proofErr w:type="spellEnd"/>
            <w:r w:rsidRPr="00956F33">
              <w:rPr>
                <w:rFonts w:ascii="Times New Roman" w:hAnsi="Times New Roman" w:cs="Times New Roman"/>
                <w:sz w:val="24"/>
                <w:szCs w:val="24"/>
              </w:rPr>
              <w:t xml:space="preserve"> мен </w:t>
            </w:r>
            <w:proofErr w:type="spellStart"/>
            <w:r w:rsidRPr="00956F33">
              <w:rPr>
                <w:rFonts w:ascii="Times New Roman" w:hAnsi="Times New Roman" w:cs="Times New Roman"/>
                <w:sz w:val="24"/>
                <w:szCs w:val="24"/>
              </w:rPr>
              <w:t>қадағалауды</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жүзеге</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асыруы</w:t>
            </w:r>
            <w:proofErr w:type="spellEnd"/>
            <w:r w:rsidRPr="00956F33">
              <w:rPr>
                <w:rFonts w:ascii="Times New Roman" w:hAnsi="Times New Roman" w:cs="Times New Roman"/>
                <w:sz w:val="24"/>
                <w:szCs w:val="24"/>
              </w:rPr>
              <w:t>;</w:t>
            </w:r>
          </w:p>
          <w:p w14:paraId="27A97D27" w14:textId="77777777" w:rsidR="003649E4" w:rsidRPr="00956F33" w:rsidRDefault="003649E4" w:rsidP="003649E4">
            <w:pPr>
              <w:pStyle w:val="a5"/>
              <w:numPr>
                <w:ilvl w:val="0"/>
                <w:numId w:val="6"/>
              </w:numPr>
              <w:spacing w:after="0" w:line="240" w:lineRule="auto"/>
              <w:jc w:val="both"/>
              <w:rPr>
                <w:rFonts w:ascii="Times New Roman" w:hAnsi="Times New Roman" w:cs="Times New Roman"/>
                <w:sz w:val="24"/>
                <w:szCs w:val="24"/>
              </w:rPr>
            </w:pPr>
            <w:proofErr w:type="spellStart"/>
            <w:r w:rsidRPr="00956F33">
              <w:rPr>
                <w:rFonts w:ascii="Times New Roman" w:hAnsi="Times New Roman" w:cs="Times New Roman"/>
                <w:sz w:val="24"/>
                <w:szCs w:val="24"/>
              </w:rPr>
              <w:t>Мемлекет</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меншігіне</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алу</w:t>
            </w:r>
            <w:proofErr w:type="spellEnd"/>
            <w:r w:rsidRPr="00956F33">
              <w:rPr>
                <w:rFonts w:ascii="Times New Roman" w:hAnsi="Times New Roman" w:cs="Times New Roman"/>
                <w:sz w:val="24"/>
                <w:szCs w:val="24"/>
              </w:rPr>
              <w:t xml:space="preserve"> мен </w:t>
            </w:r>
            <w:proofErr w:type="spellStart"/>
            <w:r w:rsidRPr="00956F33">
              <w:rPr>
                <w:rFonts w:ascii="Times New Roman" w:hAnsi="Times New Roman" w:cs="Times New Roman"/>
                <w:sz w:val="24"/>
                <w:szCs w:val="24"/>
              </w:rPr>
              <w:t>сол</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секілді</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шаралар</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кезіндегі</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инвесторлар</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құқықтарының</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кепілдіктері</w:t>
            </w:r>
            <w:proofErr w:type="spellEnd"/>
            <w:r w:rsidRPr="00956F33">
              <w:rPr>
                <w:rFonts w:ascii="Times New Roman" w:hAnsi="Times New Roman" w:cs="Times New Roman"/>
                <w:sz w:val="24"/>
                <w:szCs w:val="24"/>
              </w:rPr>
              <w:t>.</w:t>
            </w:r>
          </w:p>
          <w:p w14:paraId="2C32F8FE" w14:textId="77777777" w:rsidR="003649E4" w:rsidRPr="00956F33" w:rsidRDefault="003649E4" w:rsidP="00036BCB">
            <w:pPr>
              <w:tabs>
                <w:tab w:val="left" w:pos="360"/>
              </w:tabs>
              <w:jc w:val="both"/>
              <w:rPr>
                <w:rFonts w:ascii="Times New Roman" w:hAnsi="Times New Roman" w:cs="Times New Roman"/>
                <w:sz w:val="28"/>
                <w:szCs w:val="28"/>
              </w:rPr>
            </w:pPr>
          </w:p>
        </w:tc>
      </w:tr>
      <w:tr w:rsidR="003649E4" w:rsidRPr="000F15B4" w14:paraId="3326CFBB" w14:textId="77777777" w:rsidTr="00036BCB">
        <w:tc>
          <w:tcPr>
            <w:tcW w:w="1101" w:type="dxa"/>
            <w:tcBorders>
              <w:top w:val="single" w:sz="4" w:space="0" w:color="auto"/>
              <w:left w:val="single" w:sz="4" w:space="0" w:color="auto"/>
              <w:bottom w:val="single" w:sz="4" w:space="0" w:color="auto"/>
              <w:right w:val="single" w:sz="4" w:space="0" w:color="auto"/>
            </w:tcBorders>
            <w:hideMark/>
          </w:tcPr>
          <w:p w14:paraId="64837115" w14:textId="77777777" w:rsidR="003649E4" w:rsidRDefault="003649E4" w:rsidP="00036BCB">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8470" w:type="dxa"/>
            <w:tcBorders>
              <w:top w:val="single" w:sz="4" w:space="0" w:color="auto"/>
              <w:left w:val="single" w:sz="4" w:space="0" w:color="auto"/>
              <w:bottom w:val="single" w:sz="4" w:space="0" w:color="auto"/>
              <w:right w:val="single" w:sz="4" w:space="0" w:color="auto"/>
            </w:tcBorders>
            <w:hideMark/>
          </w:tcPr>
          <w:p w14:paraId="21961696" w14:textId="77777777" w:rsidR="003649E4" w:rsidRDefault="003649E4" w:rsidP="00036BCB">
            <w:pPr>
              <w:tabs>
                <w:tab w:val="left" w:pos="360"/>
              </w:tabs>
              <w:jc w:val="both"/>
              <w:rPr>
                <w:rFonts w:ascii="Times New Roman" w:hAnsi="Times New Roman" w:cs="Times New Roman"/>
                <w:sz w:val="28"/>
                <w:szCs w:val="28"/>
                <w:lang w:val="kk-KZ"/>
              </w:rPr>
            </w:pPr>
            <w:r w:rsidRPr="00C3727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7-тақырып. </w:t>
            </w:r>
            <w:r w:rsidRPr="00C37273">
              <w:rPr>
                <w:rFonts w:ascii="Times New Roman" w:hAnsi="Times New Roman" w:cs="Times New Roman"/>
                <w:sz w:val="28"/>
                <w:szCs w:val="28"/>
                <w:lang w:val="kk-KZ"/>
              </w:rPr>
              <w:t xml:space="preserve">Инвестицияларды мемлекеттік қолдаудың құқықтық негіздері. </w:t>
            </w:r>
          </w:p>
          <w:p w14:paraId="15ED37CF" w14:textId="77777777" w:rsidR="003649E4" w:rsidRPr="00956F33" w:rsidRDefault="003649E4" w:rsidP="003649E4">
            <w:pPr>
              <w:numPr>
                <w:ilvl w:val="0"/>
                <w:numId w:val="7"/>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Инвестицияларды мемлекеттік қолдаудың мақсаты;</w:t>
            </w:r>
          </w:p>
          <w:p w14:paraId="4882C655" w14:textId="77777777" w:rsidR="003649E4" w:rsidRPr="00956F33" w:rsidRDefault="003649E4" w:rsidP="003649E4">
            <w:pPr>
              <w:numPr>
                <w:ilvl w:val="0"/>
                <w:numId w:val="7"/>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Инвестицияларды мемлекеттік қолдауды жүзеге асыратын уәкілетті орган;</w:t>
            </w:r>
          </w:p>
          <w:p w14:paraId="5BFF8551" w14:textId="77777777" w:rsidR="003649E4" w:rsidRPr="00956F33" w:rsidRDefault="003649E4" w:rsidP="003649E4">
            <w:pPr>
              <w:numPr>
                <w:ilvl w:val="0"/>
                <w:numId w:val="7"/>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Инвестициялық преференциялар. Салықтық префенцифлар. Кеден баждарынан босату. Мемлекеттік заттай гранттар;</w:t>
            </w:r>
          </w:p>
          <w:p w14:paraId="74AA577A" w14:textId="77777777" w:rsidR="003649E4" w:rsidRPr="00956F33" w:rsidRDefault="003649E4" w:rsidP="003649E4">
            <w:pPr>
              <w:numPr>
                <w:ilvl w:val="0"/>
                <w:numId w:val="7"/>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Инвестициялық преференциялар беру тәртібі;</w:t>
            </w:r>
          </w:p>
          <w:p w14:paraId="45EAE878" w14:textId="77777777" w:rsidR="003649E4" w:rsidRPr="00956F33" w:rsidRDefault="003649E4" w:rsidP="003649E4">
            <w:pPr>
              <w:numPr>
                <w:ilvl w:val="0"/>
                <w:numId w:val="7"/>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Инвестициялық преференциялар берудің талаптары;</w:t>
            </w:r>
          </w:p>
          <w:p w14:paraId="5FE514E4" w14:textId="77777777" w:rsidR="003649E4" w:rsidRPr="00956F33" w:rsidRDefault="003649E4" w:rsidP="003649E4">
            <w:pPr>
              <w:numPr>
                <w:ilvl w:val="0"/>
                <w:numId w:val="7"/>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Инвестициялық преференциялар беруге келісім-шарт жасасу;</w:t>
            </w:r>
          </w:p>
          <w:p w14:paraId="725F4BBD" w14:textId="77777777" w:rsidR="003649E4" w:rsidRPr="00956F33" w:rsidRDefault="003649E4" w:rsidP="003649E4">
            <w:pPr>
              <w:numPr>
                <w:ilvl w:val="0"/>
                <w:numId w:val="7"/>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Келісім шарттың тоқтатылуы.</w:t>
            </w:r>
          </w:p>
          <w:p w14:paraId="4CE9747D" w14:textId="77777777" w:rsidR="003649E4" w:rsidRPr="00C37273" w:rsidRDefault="003649E4" w:rsidP="00036BCB">
            <w:pPr>
              <w:tabs>
                <w:tab w:val="left" w:pos="360"/>
              </w:tabs>
              <w:jc w:val="both"/>
              <w:rPr>
                <w:rFonts w:ascii="Times New Roman" w:hAnsi="Times New Roman" w:cs="Times New Roman"/>
                <w:sz w:val="28"/>
                <w:szCs w:val="28"/>
                <w:lang w:val="kk-KZ"/>
              </w:rPr>
            </w:pPr>
          </w:p>
        </w:tc>
      </w:tr>
      <w:tr w:rsidR="003649E4" w:rsidRPr="003649E4" w14:paraId="129900DB" w14:textId="77777777" w:rsidTr="00036BCB">
        <w:tc>
          <w:tcPr>
            <w:tcW w:w="1101" w:type="dxa"/>
            <w:tcBorders>
              <w:top w:val="single" w:sz="4" w:space="0" w:color="auto"/>
              <w:left w:val="single" w:sz="4" w:space="0" w:color="auto"/>
              <w:bottom w:val="single" w:sz="4" w:space="0" w:color="auto"/>
              <w:right w:val="single" w:sz="4" w:space="0" w:color="auto"/>
            </w:tcBorders>
            <w:hideMark/>
          </w:tcPr>
          <w:p w14:paraId="72FBF71F" w14:textId="77777777" w:rsidR="003649E4" w:rsidRDefault="003649E4" w:rsidP="00036BCB">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8470" w:type="dxa"/>
            <w:tcBorders>
              <w:top w:val="single" w:sz="4" w:space="0" w:color="auto"/>
              <w:left w:val="single" w:sz="4" w:space="0" w:color="auto"/>
              <w:bottom w:val="single" w:sz="4" w:space="0" w:color="auto"/>
              <w:right w:val="single" w:sz="4" w:space="0" w:color="auto"/>
            </w:tcBorders>
            <w:hideMark/>
          </w:tcPr>
          <w:p w14:paraId="47445753" w14:textId="77777777" w:rsidR="003649E4" w:rsidRDefault="003649E4" w:rsidP="00036BCB">
            <w:pPr>
              <w:tabs>
                <w:tab w:val="left" w:pos="360"/>
              </w:tabs>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8-тақырып. </w:t>
            </w:r>
            <w:r w:rsidRPr="00C37273">
              <w:rPr>
                <w:rFonts w:ascii="Times New Roman" w:hAnsi="Times New Roman" w:cs="Times New Roman"/>
                <w:sz w:val="28"/>
                <w:szCs w:val="28"/>
                <w:lang w:val="kk-KZ"/>
              </w:rPr>
              <w:t xml:space="preserve">Инвестициялық дауларды шешу. </w:t>
            </w:r>
          </w:p>
          <w:p w14:paraId="23D6D6C2" w14:textId="77777777" w:rsidR="003649E4" w:rsidRPr="00956F33" w:rsidRDefault="003649E4" w:rsidP="003649E4">
            <w:pPr>
              <w:numPr>
                <w:ilvl w:val="0"/>
                <w:numId w:val="8"/>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Инвестициялық дауларды шешу жөніндегі нормалар;</w:t>
            </w:r>
          </w:p>
          <w:p w14:paraId="03F98E85" w14:textId="77777777" w:rsidR="003649E4" w:rsidRPr="00956F33" w:rsidRDefault="003649E4" w:rsidP="003649E4">
            <w:pPr>
              <w:numPr>
                <w:ilvl w:val="0"/>
                <w:numId w:val="8"/>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Инвестициялық даулардың негізгі белгілері;</w:t>
            </w:r>
          </w:p>
          <w:p w14:paraId="17DD4715" w14:textId="77777777" w:rsidR="003649E4" w:rsidRPr="00956F33" w:rsidRDefault="003649E4" w:rsidP="003649E4">
            <w:pPr>
              <w:numPr>
                <w:ilvl w:val="0"/>
                <w:numId w:val="8"/>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Инвестициялық дауларды келіссөздер жолымен шешу, оның ішінде сарапшыларды тарта отырып шешу;</w:t>
            </w:r>
          </w:p>
          <w:p w14:paraId="1EFC9E0A" w14:textId="77777777" w:rsidR="003649E4" w:rsidRPr="00956F33" w:rsidRDefault="003649E4" w:rsidP="003649E4">
            <w:pPr>
              <w:numPr>
                <w:ilvl w:val="0"/>
                <w:numId w:val="8"/>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Инвестициялық дауларды ҚР соттарында шешу;</w:t>
            </w:r>
          </w:p>
          <w:p w14:paraId="5C479BF4" w14:textId="77777777" w:rsidR="003649E4" w:rsidRPr="00956F33" w:rsidRDefault="003649E4" w:rsidP="003649E4">
            <w:pPr>
              <w:numPr>
                <w:ilvl w:val="0"/>
                <w:numId w:val="8"/>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Инвестициялық дауларды тараптардың келісім шарттарымен айқындалатын халықаралық төрелік органдарда шешу. Инвестициялық дауларды реттеу жөніндегі орталық (ИКСИД). БҰҰ халықаралық сауда құқығы жөніндегі Комиссиясының (ЮНИСТРАЛ) төрелік регламентімен құрылатын төрелік органдар. Стакгольмдегі сауда палатасының арбитраждық институты. ҚР сауда палатасы жанындағы арбитраждық комссия;</w:t>
            </w:r>
          </w:p>
          <w:p w14:paraId="4236D3EE" w14:textId="77777777" w:rsidR="003649E4" w:rsidRPr="00956F33" w:rsidRDefault="003649E4" w:rsidP="003649E4">
            <w:pPr>
              <w:numPr>
                <w:ilvl w:val="0"/>
                <w:numId w:val="8"/>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 xml:space="preserve">халықаралық төрелік органдардың шешімдерін орындау. </w:t>
            </w:r>
          </w:p>
          <w:p w14:paraId="4C6D27B4" w14:textId="77777777" w:rsidR="003649E4" w:rsidRPr="00C37273" w:rsidRDefault="003649E4" w:rsidP="00036BCB">
            <w:pPr>
              <w:tabs>
                <w:tab w:val="left" w:pos="360"/>
              </w:tabs>
              <w:jc w:val="both"/>
              <w:rPr>
                <w:rFonts w:ascii="Times New Roman" w:hAnsi="Times New Roman" w:cs="Times New Roman"/>
                <w:sz w:val="28"/>
                <w:szCs w:val="28"/>
                <w:lang w:val="kk-KZ"/>
              </w:rPr>
            </w:pPr>
          </w:p>
        </w:tc>
      </w:tr>
      <w:tr w:rsidR="003649E4" w:rsidRPr="003649E4" w14:paraId="438F4310" w14:textId="77777777" w:rsidTr="00036BCB">
        <w:tc>
          <w:tcPr>
            <w:tcW w:w="1101" w:type="dxa"/>
            <w:tcBorders>
              <w:top w:val="single" w:sz="4" w:space="0" w:color="auto"/>
              <w:left w:val="single" w:sz="4" w:space="0" w:color="auto"/>
              <w:bottom w:val="single" w:sz="4" w:space="0" w:color="auto"/>
              <w:right w:val="single" w:sz="4" w:space="0" w:color="auto"/>
            </w:tcBorders>
            <w:hideMark/>
          </w:tcPr>
          <w:p w14:paraId="12C28A95" w14:textId="77777777" w:rsidR="003649E4" w:rsidRDefault="003649E4" w:rsidP="00036BCB">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9</w:t>
            </w:r>
          </w:p>
        </w:tc>
        <w:tc>
          <w:tcPr>
            <w:tcW w:w="8470" w:type="dxa"/>
            <w:tcBorders>
              <w:top w:val="single" w:sz="4" w:space="0" w:color="auto"/>
              <w:left w:val="single" w:sz="4" w:space="0" w:color="auto"/>
              <w:bottom w:val="single" w:sz="4" w:space="0" w:color="auto"/>
              <w:right w:val="single" w:sz="4" w:space="0" w:color="auto"/>
            </w:tcBorders>
            <w:hideMark/>
          </w:tcPr>
          <w:p w14:paraId="4C4B325F" w14:textId="77777777" w:rsidR="003649E4" w:rsidRDefault="003649E4" w:rsidP="00036BCB">
            <w:pPr>
              <w:tabs>
                <w:tab w:val="left" w:pos="360"/>
              </w:tabs>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9-тақырып. </w:t>
            </w:r>
            <w:r w:rsidRPr="00C37273">
              <w:rPr>
                <w:rFonts w:ascii="Times New Roman" w:hAnsi="Times New Roman" w:cs="Times New Roman"/>
                <w:sz w:val="28"/>
                <w:szCs w:val="28"/>
                <w:lang w:val="kk-KZ"/>
              </w:rPr>
              <w:t xml:space="preserve">Жер қойнауына инвестициялар салуды құқықтық реттеу. </w:t>
            </w:r>
          </w:p>
          <w:p w14:paraId="7BD841D9" w14:textId="77777777" w:rsidR="003649E4" w:rsidRPr="00956F33" w:rsidRDefault="003649E4" w:rsidP="003649E4">
            <w:pPr>
              <w:numPr>
                <w:ilvl w:val="0"/>
                <w:numId w:val="9"/>
              </w:numPr>
              <w:spacing w:after="0" w:line="240" w:lineRule="auto"/>
              <w:rPr>
                <w:rFonts w:ascii="Times New Roman" w:hAnsi="Times New Roman" w:cs="Times New Roman"/>
                <w:sz w:val="24"/>
                <w:szCs w:val="24"/>
                <w:lang w:val="kk-KZ"/>
              </w:rPr>
            </w:pPr>
            <w:r w:rsidRPr="00956F33">
              <w:rPr>
                <w:rFonts w:ascii="Times New Roman" w:hAnsi="Times New Roman" w:cs="Times New Roman"/>
                <w:sz w:val="24"/>
                <w:szCs w:val="24"/>
                <w:lang w:val="kk-KZ"/>
              </w:rPr>
              <w:t>Жер қойнауының құқық объектісі ретіндегі түсінігі. Жер қойнауының құрамдас бөліктерінің классификациясы. Жер қойнауына инвестициялар салудың ерекшеліктері. Жер қойнауы туралы заңдар;</w:t>
            </w:r>
          </w:p>
          <w:p w14:paraId="32630BC8" w14:textId="77777777" w:rsidR="003649E4" w:rsidRPr="00956F33" w:rsidRDefault="003649E4" w:rsidP="003649E4">
            <w:pPr>
              <w:numPr>
                <w:ilvl w:val="0"/>
                <w:numId w:val="9"/>
              </w:numPr>
              <w:spacing w:after="0" w:line="240" w:lineRule="auto"/>
              <w:rPr>
                <w:rFonts w:ascii="Times New Roman" w:hAnsi="Times New Roman" w:cs="Times New Roman"/>
                <w:sz w:val="24"/>
                <w:szCs w:val="24"/>
                <w:lang w:val="kk-KZ"/>
              </w:rPr>
            </w:pPr>
            <w:r w:rsidRPr="00956F33">
              <w:rPr>
                <w:rFonts w:ascii="Times New Roman" w:hAnsi="Times New Roman" w:cs="Times New Roman"/>
                <w:sz w:val="24"/>
                <w:szCs w:val="24"/>
                <w:lang w:val="kk-KZ"/>
              </w:rPr>
              <w:t>Жер қойнауының құқықтық режимі;</w:t>
            </w:r>
          </w:p>
          <w:p w14:paraId="1CC7CB81" w14:textId="77777777" w:rsidR="003649E4" w:rsidRPr="00956F33" w:rsidRDefault="003649E4" w:rsidP="003649E4">
            <w:pPr>
              <w:numPr>
                <w:ilvl w:val="0"/>
                <w:numId w:val="9"/>
              </w:numPr>
              <w:spacing w:after="0" w:line="240" w:lineRule="auto"/>
              <w:rPr>
                <w:rFonts w:ascii="Times New Roman" w:hAnsi="Times New Roman" w:cs="Times New Roman"/>
                <w:sz w:val="24"/>
                <w:szCs w:val="24"/>
                <w:lang w:val="kk-KZ"/>
              </w:rPr>
            </w:pPr>
            <w:r w:rsidRPr="00956F33">
              <w:rPr>
                <w:rFonts w:ascii="Times New Roman" w:hAnsi="Times New Roman" w:cs="Times New Roman"/>
                <w:sz w:val="24"/>
                <w:szCs w:val="24"/>
                <w:lang w:val="kk-KZ"/>
              </w:rPr>
              <w:t>Жер қойнауын пайдалану жөніндегі келісім шарттар. Концесия. Өнімді бөлу туралы шарт.  Сервистік қызметтер көрсету туралы шарттар;</w:t>
            </w:r>
          </w:p>
          <w:p w14:paraId="37D6D128" w14:textId="77777777" w:rsidR="003649E4" w:rsidRPr="00956F33" w:rsidRDefault="003649E4" w:rsidP="003649E4">
            <w:pPr>
              <w:numPr>
                <w:ilvl w:val="0"/>
                <w:numId w:val="9"/>
              </w:numPr>
              <w:spacing w:after="0" w:line="240" w:lineRule="auto"/>
              <w:rPr>
                <w:rFonts w:ascii="Times New Roman" w:hAnsi="Times New Roman" w:cs="Times New Roman"/>
                <w:sz w:val="24"/>
                <w:szCs w:val="24"/>
                <w:lang w:val="kk-KZ"/>
              </w:rPr>
            </w:pPr>
            <w:r w:rsidRPr="00956F33">
              <w:rPr>
                <w:rFonts w:ascii="Times New Roman" w:hAnsi="Times New Roman" w:cs="Times New Roman"/>
                <w:sz w:val="24"/>
                <w:szCs w:val="24"/>
                <w:lang w:val="kk-KZ"/>
              </w:rPr>
              <w:t>Жер қойнауын пайдаланушы концессионердің түсінігі;</w:t>
            </w:r>
          </w:p>
          <w:p w14:paraId="4722B556" w14:textId="77777777" w:rsidR="003649E4" w:rsidRPr="00956F33" w:rsidRDefault="003649E4" w:rsidP="003649E4">
            <w:pPr>
              <w:numPr>
                <w:ilvl w:val="0"/>
                <w:numId w:val="9"/>
              </w:numPr>
              <w:spacing w:after="0" w:line="240" w:lineRule="auto"/>
              <w:rPr>
                <w:rFonts w:ascii="Times New Roman" w:hAnsi="Times New Roman" w:cs="Times New Roman"/>
                <w:sz w:val="24"/>
                <w:szCs w:val="24"/>
                <w:lang w:val="kk-KZ"/>
              </w:rPr>
            </w:pPr>
            <w:r w:rsidRPr="00956F33">
              <w:rPr>
                <w:rFonts w:ascii="Times New Roman" w:hAnsi="Times New Roman" w:cs="Times New Roman"/>
                <w:sz w:val="24"/>
                <w:szCs w:val="24"/>
                <w:lang w:val="kk-KZ"/>
              </w:rPr>
              <w:t>Жер қойнауын пайдаланғаны үшін төлемдер. Олардың түрлері: бонус, роялти, үстеме пайда салығы, шикі мұнай экспортына рента салығы:</w:t>
            </w:r>
          </w:p>
          <w:p w14:paraId="19937ADD" w14:textId="77777777" w:rsidR="003649E4" w:rsidRPr="00956F33" w:rsidRDefault="003649E4" w:rsidP="003649E4">
            <w:pPr>
              <w:numPr>
                <w:ilvl w:val="0"/>
                <w:numId w:val="9"/>
              </w:numPr>
              <w:spacing w:after="0" w:line="240" w:lineRule="auto"/>
              <w:rPr>
                <w:rFonts w:ascii="Times New Roman" w:hAnsi="Times New Roman" w:cs="Times New Roman"/>
                <w:sz w:val="24"/>
                <w:szCs w:val="24"/>
                <w:lang w:val="kk-KZ"/>
              </w:rPr>
            </w:pPr>
            <w:r w:rsidRPr="00956F33">
              <w:rPr>
                <w:rFonts w:ascii="Times New Roman" w:hAnsi="Times New Roman" w:cs="Times New Roman"/>
                <w:sz w:val="24"/>
                <w:szCs w:val="24"/>
                <w:lang w:val="kk-KZ"/>
              </w:rPr>
              <w:t>Ұлттардың табиғи байлықтарға тұрақты егенмендігі туралы БҰҰ Қарары.</w:t>
            </w:r>
          </w:p>
          <w:p w14:paraId="49DD22DD" w14:textId="77777777" w:rsidR="003649E4" w:rsidRPr="00C37273" w:rsidRDefault="003649E4" w:rsidP="00036BCB">
            <w:pPr>
              <w:tabs>
                <w:tab w:val="left" w:pos="360"/>
              </w:tabs>
              <w:jc w:val="both"/>
              <w:rPr>
                <w:rFonts w:ascii="Times New Roman" w:hAnsi="Times New Roman" w:cs="Times New Roman"/>
                <w:sz w:val="28"/>
                <w:szCs w:val="28"/>
                <w:lang w:val="kk-KZ"/>
              </w:rPr>
            </w:pPr>
          </w:p>
        </w:tc>
      </w:tr>
      <w:tr w:rsidR="003649E4" w:rsidRPr="000F15B4" w14:paraId="70D7D0D6" w14:textId="77777777" w:rsidTr="00036BCB">
        <w:tc>
          <w:tcPr>
            <w:tcW w:w="1101" w:type="dxa"/>
            <w:tcBorders>
              <w:top w:val="single" w:sz="4" w:space="0" w:color="auto"/>
              <w:left w:val="single" w:sz="4" w:space="0" w:color="auto"/>
              <w:bottom w:val="single" w:sz="4" w:space="0" w:color="auto"/>
              <w:right w:val="single" w:sz="4" w:space="0" w:color="auto"/>
            </w:tcBorders>
            <w:hideMark/>
          </w:tcPr>
          <w:p w14:paraId="6A0CA14A" w14:textId="77777777" w:rsidR="003649E4" w:rsidRDefault="003649E4" w:rsidP="00036BCB">
            <w:pPr>
              <w:pStyle w:val="a3"/>
              <w:jc w:val="center"/>
              <w:rPr>
                <w:rFonts w:ascii="Times New Roman" w:hAnsi="Times New Roman" w:cs="Times New Roman"/>
                <w:sz w:val="28"/>
                <w:szCs w:val="28"/>
                <w:lang w:val="kk-KZ"/>
              </w:rPr>
            </w:pPr>
          </w:p>
          <w:p w14:paraId="019483FB" w14:textId="77777777" w:rsidR="003649E4" w:rsidRDefault="003649E4" w:rsidP="00036BCB">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8470" w:type="dxa"/>
            <w:tcBorders>
              <w:top w:val="single" w:sz="4" w:space="0" w:color="auto"/>
              <w:left w:val="single" w:sz="4" w:space="0" w:color="auto"/>
              <w:bottom w:val="single" w:sz="4" w:space="0" w:color="auto"/>
              <w:right w:val="single" w:sz="4" w:space="0" w:color="auto"/>
            </w:tcBorders>
            <w:hideMark/>
          </w:tcPr>
          <w:p w14:paraId="3997DD78" w14:textId="77777777" w:rsidR="003649E4" w:rsidRPr="00C37273" w:rsidRDefault="003649E4" w:rsidP="00036BCB">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10-тақырып. </w:t>
            </w:r>
            <w:r w:rsidRPr="00C37273">
              <w:rPr>
                <w:rFonts w:ascii="Times New Roman" w:hAnsi="Times New Roman" w:cs="Times New Roman"/>
                <w:sz w:val="28"/>
                <w:szCs w:val="28"/>
                <w:lang w:val="kk-KZ"/>
              </w:rPr>
              <w:t>М</w:t>
            </w:r>
            <w:r w:rsidRPr="00C37273">
              <w:rPr>
                <w:rFonts w:ascii="Times New Roman" w:eastAsia="MS Mincho" w:hAnsi="Times New Roman" w:cs="Times New Roman"/>
                <w:sz w:val="28"/>
                <w:szCs w:val="28"/>
                <w:lang w:val="kk-KZ"/>
              </w:rPr>
              <w:t>ұ</w:t>
            </w:r>
            <w:r w:rsidRPr="00C37273">
              <w:rPr>
                <w:rFonts w:ascii="Times New Roman" w:hAnsi="Times New Roman" w:cs="Times New Roman"/>
                <w:sz w:val="28"/>
                <w:szCs w:val="28"/>
                <w:lang w:val="kk-KZ"/>
              </w:rPr>
              <w:t>най ж</w:t>
            </w:r>
            <w:r w:rsidRPr="00C37273">
              <w:rPr>
                <w:rFonts w:ascii="Times New Roman" w:eastAsia="MS Mincho" w:hAnsi="Times New Roman" w:cs="Times New Roman"/>
                <w:sz w:val="28"/>
                <w:szCs w:val="28"/>
                <w:lang w:val="kk-KZ"/>
              </w:rPr>
              <w:t>ә</w:t>
            </w:r>
            <w:r w:rsidRPr="00C37273">
              <w:rPr>
                <w:rFonts w:ascii="Times New Roman" w:hAnsi="Times New Roman" w:cs="Times New Roman"/>
                <w:sz w:val="28"/>
                <w:szCs w:val="28"/>
                <w:lang w:val="kk-KZ"/>
              </w:rPr>
              <w:t>не газ кен орындары инвстициялы</w:t>
            </w:r>
            <w:r w:rsidRPr="00C37273">
              <w:rPr>
                <w:rFonts w:ascii="Times New Roman" w:eastAsia="MS Mincho" w:hAnsi="Times New Roman" w:cs="Times New Roman"/>
                <w:sz w:val="28"/>
                <w:szCs w:val="28"/>
                <w:lang w:val="kk-KZ"/>
              </w:rPr>
              <w:t>қ</w:t>
            </w:r>
            <w:r w:rsidRPr="00C37273">
              <w:rPr>
                <w:rFonts w:ascii="Times New Roman" w:hAnsi="Times New Roman" w:cs="Times New Roman"/>
                <w:sz w:val="28"/>
                <w:szCs w:val="28"/>
                <w:lang w:val="kk-KZ"/>
              </w:rPr>
              <w:t xml:space="preserve"> </w:t>
            </w:r>
            <w:r w:rsidRPr="00C37273">
              <w:rPr>
                <w:rFonts w:ascii="Times New Roman" w:eastAsia="MS Mincho" w:hAnsi="Times New Roman" w:cs="Times New Roman"/>
                <w:sz w:val="28"/>
                <w:szCs w:val="28"/>
                <w:lang w:val="kk-KZ"/>
              </w:rPr>
              <w:t>құқ</w:t>
            </w:r>
            <w:r w:rsidRPr="00C37273">
              <w:rPr>
                <w:rFonts w:ascii="Times New Roman" w:hAnsi="Times New Roman" w:cs="Times New Roman"/>
                <w:sz w:val="28"/>
                <w:szCs w:val="28"/>
                <w:lang w:val="kk-KZ"/>
              </w:rPr>
              <w:t>ы</w:t>
            </w:r>
            <w:r w:rsidRPr="00C37273">
              <w:rPr>
                <w:rFonts w:ascii="Times New Roman" w:eastAsia="MS Mincho" w:hAnsi="Times New Roman" w:cs="Times New Roman"/>
                <w:sz w:val="28"/>
                <w:szCs w:val="28"/>
                <w:lang w:val="kk-KZ"/>
              </w:rPr>
              <w:t>қ</w:t>
            </w:r>
            <w:r w:rsidRPr="00C37273">
              <w:rPr>
                <w:rFonts w:ascii="Times New Roman" w:hAnsi="Times New Roman" w:cs="Times New Roman"/>
                <w:sz w:val="28"/>
                <w:szCs w:val="28"/>
                <w:lang w:val="kk-KZ"/>
              </w:rPr>
              <w:t>ты</w:t>
            </w:r>
            <w:r w:rsidRPr="00C37273">
              <w:rPr>
                <w:rFonts w:ascii="Times New Roman" w:eastAsia="MS Mincho" w:hAnsi="Times New Roman" w:cs="Times New Roman"/>
                <w:sz w:val="28"/>
                <w:szCs w:val="28"/>
                <w:lang w:val="kk-KZ"/>
              </w:rPr>
              <w:t>қ</w:t>
            </w:r>
            <w:r w:rsidRPr="00C37273">
              <w:rPr>
                <w:rFonts w:ascii="Times New Roman" w:hAnsi="Times New Roman" w:cs="Times New Roman"/>
                <w:sz w:val="28"/>
                <w:szCs w:val="28"/>
                <w:lang w:val="kk-KZ"/>
              </w:rPr>
              <w:t xml:space="preserve"> </w:t>
            </w:r>
            <w:r w:rsidRPr="00C37273">
              <w:rPr>
                <w:rFonts w:ascii="Times New Roman" w:eastAsia="MS Mincho" w:hAnsi="Times New Roman" w:cs="Times New Roman"/>
                <w:sz w:val="28"/>
                <w:szCs w:val="28"/>
                <w:lang w:val="kk-KZ"/>
              </w:rPr>
              <w:t>қ</w:t>
            </w:r>
            <w:r w:rsidRPr="00C37273">
              <w:rPr>
                <w:rFonts w:ascii="Times New Roman" w:hAnsi="Times New Roman" w:cs="Times New Roman"/>
                <w:sz w:val="28"/>
                <w:szCs w:val="28"/>
                <w:lang w:val="kk-KZ"/>
              </w:rPr>
              <w:t>атынастрады</w:t>
            </w:r>
            <w:r w:rsidRPr="00C37273">
              <w:rPr>
                <w:rFonts w:ascii="Times New Roman" w:eastAsia="MS Mincho" w:hAnsi="Times New Roman" w:cs="Times New Roman"/>
                <w:sz w:val="28"/>
                <w:szCs w:val="28"/>
                <w:lang w:val="kk-KZ"/>
              </w:rPr>
              <w:t>ң</w:t>
            </w:r>
            <w:r w:rsidRPr="00C37273">
              <w:rPr>
                <w:rFonts w:ascii="Times New Roman" w:hAnsi="Times New Roman" w:cs="Times New Roman"/>
                <w:sz w:val="28"/>
                <w:szCs w:val="28"/>
                <w:lang w:val="kk-KZ"/>
              </w:rPr>
              <w:t xml:space="preserve"> объкетісі ретінде. </w:t>
            </w:r>
          </w:p>
          <w:p w14:paraId="121821A9" w14:textId="77777777" w:rsidR="003649E4" w:rsidRPr="00956F33" w:rsidRDefault="003649E4" w:rsidP="003649E4">
            <w:pPr>
              <w:numPr>
                <w:ilvl w:val="0"/>
                <w:numId w:val="10"/>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Мұнай және газ кен орындарының құқық объектісі ретіндегі сипаттамасы;</w:t>
            </w:r>
          </w:p>
          <w:p w14:paraId="42CFFFE6" w14:textId="77777777" w:rsidR="003649E4" w:rsidRPr="00956F33" w:rsidRDefault="003649E4" w:rsidP="003649E4">
            <w:pPr>
              <w:numPr>
                <w:ilvl w:val="0"/>
                <w:numId w:val="10"/>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Мұнай және газ кен орындарына инвестициялар салудың ерекшеліктері;</w:t>
            </w:r>
          </w:p>
          <w:p w14:paraId="4098FA8A" w14:textId="77777777" w:rsidR="003649E4" w:rsidRPr="00956F33" w:rsidRDefault="003649E4" w:rsidP="003649E4">
            <w:pPr>
              <w:numPr>
                <w:ilvl w:val="0"/>
                <w:numId w:val="10"/>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Мұнай және газ кен орындарын пайдалану құқығы;</w:t>
            </w:r>
          </w:p>
          <w:p w14:paraId="47D04DC2" w14:textId="77777777" w:rsidR="003649E4" w:rsidRPr="00956F33" w:rsidRDefault="003649E4" w:rsidP="003649E4">
            <w:pPr>
              <w:numPr>
                <w:ilvl w:val="0"/>
                <w:numId w:val="10"/>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Мұнай және газ кен орындары саласындағы уәкілетті органдар, ұлттық мұнай газ компаниясы;</w:t>
            </w:r>
          </w:p>
          <w:p w14:paraId="1D43EC36" w14:textId="77777777" w:rsidR="003649E4" w:rsidRPr="00956F33" w:rsidRDefault="003649E4" w:rsidP="003649E4">
            <w:pPr>
              <w:numPr>
                <w:ilvl w:val="0"/>
                <w:numId w:val="10"/>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мұнай контрактілері;</w:t>
            </w:r>
          </w:p>
          <w:p w14:paraId="51C99A33" w14:textId="77777777" w:rsidR="003649E4" w:rsidRPr="00956F33" w:rsidRDefault="003649E4" w:rsidP="003649E4">
            <w:pPr>
              <w:numPr>
                <w:ilvl w:val="0"/>
                <w:numId w:val="10"/>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 xml:space="preserve">Мұнай және газ кен орындары туралы заңдар. </w:t>
            </w:r>
          </w:p>
          <w:p w14:paraId="3E2D746A" w14:textId="77777777" w:rsidR="003649E4" w:rsidRPr="00C37273" w:rsidRDefault="003649E4" w:rsidP="00036BCB">
            <w:pPr>
              <w:tabs>
                <w:tab w:val="left" w:pos="360"/>
              </w:tabs>
              <w:jc w:val="both"/>
              <w:rPr>
                <w:rFonts w:ascii="Times New Roman" w:hAnsi="Times New Roman" w:cs="Times New Roman"/>
                <w:sz w:val="28"/>
                <w:szCs w:val="28"/>
                <w:lang w:val="kk-KZ"/>
              </w:rPr>
            </w:pPr>
          </w:p>
        </w:tc>
      </w:tr>
      <w:tr w:rsidR="003649E4" w:rsidRPr="003649E4" w14:paraId="4C1F0812" w14:textId="77777777" w:rsidTr="00036BCB">
        <w:tc>
          <w:tcPr>
            <w:tcW w:w="1101" w:type="dxa"/>
            <w:tcBorders>
              <w:top w:val="single" w:sz="4" w:space="0" w:color="auto"/>
              <w:left w:val="single" w:sz="4" w:space="0" w:color="auto"/>
              <w:bottom w:val="single" w:sz="4" w:space="0" w:color="auto"/>
              <w:right w:val="single" w:sz="4" w:space="0" w:color="auto"/>
            </w:tcBorders>
            <w:hideMark/>
          </w:tcPr>
          <w:p w14:paraId="227382C7" w14:textId="77777777" w:rsidR="003649E4" w:rsidRDefault="003649E4" w:rsidP="00036BCB">
            <w:pPr>
              <w:pStyle w:val="a3"/>
              <w:jc w:val="center"/>
              <w:rPr>
                <w:rFonts w:ascii="Times New Roman" w:hAnsi="Times New Roman" w:cs="Times New Roman"/>
                <w:sz w:val="28"/>
                <w:szCs w:val="28"/>
                <w:lang w:val="kk-KZ"/>
              </w:rPr>
            </w:pPr>
          </w:p>
          <w:p w14:paraId="446CC876" w14:textId="77777777" w:rsidR="003649E4" w:rsidRDefault="003649E4" w:rsidP="00036BCB">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8470" w:type="dxa"/>
            <w:tcBorders>
              <w:top w:val="single" w:sz="4" w:space="0" w:color="auto"/>
              <w:left w:val="single" w:sz="4" w:space="0" w:color="auto"/>
              <w:bottom w:val="single" w:sz="4" w:space="0" w:color="auto"/>
              <w:right w:val="single" w:sz="4" w:space="0" w:color="auto"/>
            </w:tcBorders>
            <w:hideMark/>
          </w:tcPr>
          <w:p w14:paraId="1C532B3D" w14:textId="77777777" w:rsidR="003649E4" w:rsidRPr="00C37273" w:rsidRDefault="003649E4" w:rsidP="00036BCB">
            <w:pPr>
              <w:pStyle w:val="a3"/>
              <w:rPr>
                <w:rFonts w:ascii="Times New Roman" w:hAnsi="Times New Roman" w:cs="Times New Roman"/>
                <w:sz w:val="28"/>
                <w:szCs w:val="28"/>
                <w:lang w:val="kk-KZ"/>
              </w:rPr>
            </w:pPr>
            <w:r w:rsidRPr="00C3727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11-тақырып. </w:t>
            </w:r>
            <w:r w:rsidRPr="00C37273">
              <w:rPr>
                <w:rFonts w:ascii="Times New Roman" w:hAnsi="Times New Roman" w:cs="Times New Roman"/>
                <w:sz w:val="28"/>
                <w:szCs w:val="28"/>
                <w:lang w:val="kk-KZ"/>
              </w:rPr>
              <w:t>Ба</w:t>
            </w:r>
            <w:r w:rsidRPr="00C37273">
              <w:rPr>
                <w:rFonts w:ascii="Times New Roman" w:eastAsia="MS Mincho" w:hAnsi="Times New Roman" w:cs="Times New Roman"/>
                <w:sz w:val="28"/>
                <w:szCs w:val="28"/>
                <w:lang w:val="kk-KZ"/>
              </w:rPr>
              <w:t>ғ</w:t>
            </w:r>
            <w:r w:rsidRPr="00C37273">
              <w:rPr>
                <w:rFonts w:ascii="Times New Roman" w:hAnsi="Times New Roman" w:cs="Times New Roman"/>
                <w:sz w:val="28"/>
                <w:szCs w:val="28"/>
                <w:lang w:val="kk-KZ"/>
              </w:rPr>
              <w:t xml:space="preserve">алы </w:t>
            </w:r>
            <w:r w:rsidRPr="00C37273">
              <w:rPr>
                <w:rFonts w:ascii="Times New Roman" w:eastAsia="MS Mincho" w:hAnsi="Times New Roman" w:cs="Times New Roman"/>
                <w:sz w:val="28"/>
                <w:szCs w:val="28"/>
                <w:lang w:val="kk-KZ"/>
              </w:rPr>
              <w:t>қ</w:t>
            </w:r>
            <w:r w:rsidRPr="00C37273">
              <w:rPr>
                <w:rFonts w:ascii="Times New Roman" w:hAnsi="Times New Roman" w:cs="Times New Roman"/>
                <w:sz w:val="28"/>
                <w:szCs w:val="28"/>
                <w:lang w:val="kk-KZ"/>
              </w:rPr>
              <w:t>а</w:t>
            </w:r>
            <w:r w:rsidRPr="00C37273">
              <w:rPr>
                <w:rFonts w:ascii="Times New Roman" w:eastAsia="MS Mincho" w:hAnsi="Times New Roman" w:cs="Times New Roman"/>
                <w:sz w:val="28"/>
                <w:szCs w:val="28"/>
                <w:lang w:val="kk-KZ"/>
              </w:rPr>
              <w:t>ғ</w:t>
            </w:r>
            <w:r w:rsidRPr="00C37273">
              <w:rPr>
                <w:rFonts w:ascii="Times New Roman" w:hAnsi="Times New Roman" w:cs="Times New Roman"/>
                <w:sz w:val="28"/>
                <w:szCs w:val="28"/>
                <w:lang w:val="kk-KZ"/>
              </w:rPr>
              <w:t>аздар инвестициялы</w:t>
            </w:r>
            <w:r w:rsidRPr="00C37273">
              <w:rPr>
                <w:rFonts w:ascii="Times New Roman" w:eastAsia="MS Mincho" w:hAnsi="Times New Roman" w:cs="Times New Roman"/>
                <w:sz w:val="28"/>
                <w:szCs w:val="28"/>
                <w:lang w:val="kk-KZ"/>
              </w:rPr>
              <w:t>қ</w:t>
            </w:r>
            <w:r w:rsidRPr="00C37273">
              <w:rPr>
                <w:rFonts w:ascii="Times New Roman" w:hAnsi="Times New Roman" w:cs="Times New Roman"/>
                <w:sz w:val="28"/>
                <w:szCs w:val="28"/>
                <w:lang w:val="kk-KZ"/>
              </w:rPr>
              <w:t xml:space="preserve"> –</w:t>
            </w:r>
            <w:r w:rsidRPr="00C37273">
              <w:rPr>
                <w:rFonts w:ascii="Times New Roman" w:eastAsia="MS Mincho" w:hAnsi="Times New Roman" w:cs="Times New Roman"/>
                <w:sz w:val="28"/>
                <w:szCs w:val="28"/>
                <w:lang w:val="kk-KZ"/>
              </w:rPr>
              <w:t>құқ</w:t>
            </w:r>
            <w:r w:rsidRPr="00C37273">
              <w:rPr>
                <w:rFonts w:ascii="Times New Roman" w:hAnsi="Times New Roman" w:cs="Times New Roman"/>
                <w:sz w:val="28"/>
                <w:szCs w:val="28"/>
                <w:lang w:val="kk-KZ"/>
              </w:rPr>
              <w:t>ы</w:t>
            </w:r>
            <w:r w:rsidRPr="00C37273">
              <w:rPr>
                <w:rFonts w:ascii="Times New Roman" w:eastAsia="MS Mincho" w:hAnsi="Times New Roman" w:cs="Times New Roman"/>
                <w:sz w:val="28"/>
                <w:szCs w:val="28"/>
                <w:lang w:val="kk-KZ"/>
              </w:rPr>
              <w:t>қ</w:t>
            </w:r>
            <w:r w:rsidRPr="00C37273">
              <w:rPr>
                <w:rFonts w:ascii="Times New Roman" w:hAnsi="Times New Roman" w:cs="Times New Roman"/>
                <w:sz w:val="28"/>
                <w:szCs w:val="28"/>
                <w:lang w:val="kk-KZ"/>
              </w:rPr>
              <w:t>ты</w:t>
            </w:r>
            <w:r w:rsidRPr="00C37273">
              <w:rPr>
                <w:rFonts w:ascii="Times New Roman" w:eastAsia="MS Mincho" w:hAnsi="Times New Roman" w:cs="Times New Roman"/>
                <w:sz w:val="28"/>
                <w:szCs w:val="28"/>
                <w:lang w:val="kk-KZ"/>
              </w:rPr>
              <w:t>қ</w:t>
            </w:r>
            <w:r w:rsidRPr="00C37273">
              <w:rPr>
                <w:rFonts w:ascii="Times New Roman" w:hAnsi="Times New Roman" w:cs="Times New Roman"/>
                <w:sz w:val="28"/>
                <w:szCs w:val="28"/>
                <w:lang w:val="kk-KZ"/>
              </w:rPr>
              <w:t xml:space="preserve"> </w:t>
            </w:r>
            <w:r w:rsidRPr="00C37273">
              <w:rPr>
                <w:rFonts w:ascii="Times New Roman" w:eastAsia="MS Mincho" w:hAnsi="Times New Roman" w:cs="Times New Roman"/>
                <w:sz w:val="28"/>
                <w:szCs w:val="28"/>
                <w:lang w:val="kk-KZ"/>
              </w:rPr>
              <w:t>қ</w:t>
            </w:r>
            <w:r w:rsidRPr="00C37273">
              <w:rPr>
                <w:rFonts w:ascii="Times New Roman" w:hAnsi="Times New Roman" w:cs="Times New Roman"/>
                <w:sz w:val="28"/>
                <w:szCs w:val="28"/>
                <w:lang w:val="kk-KZ"/>
              </w:rPr>
              <w:t>атынастарды</w:t>
            </w:r>
            <w:r w:rsidRPr="00C37273">
              <w:rPr>
                <w:rFonts w:ascii="Times New Roman" w:eastAsia="MS Mincho" w:hAnsi="Times New Roman" w:cs="Times New Roman"/>
                <w:sz w:val="28"/>
                <w:szCs w:val="28"/>
                <w:lang w:val="kk-KZ"/>
              </w:rPr>
              <w:t>ң</w:t>
            </w:r>
            <w:r w:rsidRPr="00C37273">
              <w:rPr>
                <w:rFonts w:ascii="Times New Roman" w:hAnsi="Times New Roman" w:cs="Times New Roman"/>
                <w:sz w:val="28"/>
                <w:szCs w:val="28"/>
                <w:lang w:val="kk-KZ"/>
              </w:rPr>
              <w:t xml:space="preserve"> объектісі ретінде. </w:t>
            </w:r>
          </w:p>
          <w:p w14:paraId="3DAE8ADE" w14:textId="77777777" w:rsidR="003649E4" w:rsidRPr="00956F33" w:rsidRDefault="003649E4" w:rsidP="003649E4">
            <w:pPr>
              <w:numPr>
                <w:ilvl w:val="0"/>
                <w:numId w:val="11"/>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Бағалы қағаздардың құқық объектісі ретіндегі түсінігі;</w:t>
            </w:r>
          </w:p>
          <w:p w14:paraId="6C1239F7" w14:textId="77777777" w:rsidR="003649E4" w:rsidRPr="00956F33" w:rsidRDefault="003649E4" w:rsidP="003649E4">
            <w:pPr>
              <w:numPr>
                <w:ilvl w:val="0"/>
                <w:numId w:val="11"/>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Бағалы қағаздардың түрлері;</w:t>
            </w:r>
          </w:p>
          <w:p w14:paraId="1246B856" w14:textId="77777777" w:rsidR="003649E4" w:rsidRPr="00956F33" w:rsidRDefault="003649E4" w:rsidP="003649E4">
            <w:pPr>
              <w:numPr>
                <w:ilvl w:val="0"/>
                <w:numId w:val="11"/>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rPr>
              <w:t>Бағалы қағаз</w:t>
            </w:r>
            <w:r w:rsidRPr="00956F33">
              <w:rPr>
                <w:rFonts w:ascii="Times New Roman" w:hAnsi="Times New Roman" w:cs="Times New Roman"/>
                <w:sz w:val="24"/>
                <w:szCs w:val="24"/>
                <w:lang w:val="kk-KZ"/>
              </w:rPr>
              <w:t>дар туралы заңдар;</w:t>
            </w:r>
          </w:p>
          <w:p w14:paraId="3E1A7B9B" w14:textId="77777777" w:rsidR="003649E4" w:rsidRPr="00956F33" w:rsidRDefault="003649E4" w:rsidP="003649E4">
            <w:pPr>
              <w:numPr>
                <w:ilvl w:val="0"/>
                <w:numId w:val="11"/>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Бағалы қағаздарға инвестицичлар салудың ерекшеліктері;</w:t>
            </w:r>
          </w:p>
          <w:p w14:paraId="1904C446" w14:textId="77777777" w:rsidR="003649E4" w:rsidRPr="00956F33" w:rsidRDefault="003649E4" w:rsidP="003649E4">
            <w:pPr>
              <w:numPr>
                <w:ilvl w:val="0"/>
                <w:numId w:val="11"/>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Институционалды және жеке инвесторлар;</w:t>
            </w:r>
          </w:p>
          <w:p w14:paraId="66EA7889" w14:textId="77777777" w:rsidR="003649E4" w:rsidRPr="00956F33" w:rsidRDefault="003649E4" w:rsidP="003649E4">
            <w:pPr>
              <w:numPr>
                <w:ilvl w:val="0"/>
                <w:numId w:val="11"/>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Ивестициялар жөніндегі кеңесшілердің құқықтқ мәртебесі.</w:t>
            </w:r>
          </w:p>
        </w:tc>
      </w:tr>
      <w:tr w:rsidR="003649E4" w:rsidRPr="003649E4" w14:paraId="4D68D162" w14:textId="77777777" w:rsidTr="00036BCB">
        <w:tc>
          <w:tcPr>
            <w:tcW w:w="1101" w:type="dxa"/>
            <w:tcBorders>
              <w:top w:val="single" w:sz="4" w:space="0" w:color="auto"/>
              <w:left w:val="single" w:sz="4" w:space="0" w:color="auto"/>
              <w:bottom w:val="single" w:sz="4" w:space="0" w:color="auto"/>
              <w:right w:val="single" w:sz="4" w:space="0" w:color="auto"/>
            </w:tcBorders>
            <w:hideMark/>
          </w:tcPr>
          <w:p w14:paraId="5D856E62" w14:textId="77777777" w:rsidR="003649E4" w:rsidRDefault="003649E4" w:rsidP="00036BCB">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12</w:t>
            </w:r>
          </w:p>
          <w:p w14:paraId="62E88941" w14:textId="77777777" w:rsidR="003649E4" w:rsidRDefault="003649E4" w:rsidP="00036BCB">
            <w:pPr>
              <w:pStyle w:val="a3"/>
              <w:jc w:val="center"/>
              <w:rPr>
                <w:rFonts w:ascii="Times New Roman" w:hAnsi="Times New Roman" w:cs="Times New Roman"/>
                <w:sz w:val="28"/>
                <w:szCs w:val="28"/>
                <w:lang w:val="kk-KZ"/>
              </w:rPr>
            </w:pPr>
          </w:p>
        </w:tc>
        <w:tc>
          <w:tcPr>
            <w:tcW w:w="8470" w:type="dxa"/>
            <w:tcBorders>
              <w:top w:val="single" w:sz="4" w:space="0" w:color="auto"/>
              <w:left w:val="single" w:sz="4" w:space="0" w:color="auto"/>
              <w:bottom w:val="single" w:sz="4" w:space="0" w:color="auto"/>
              <w:right w:val="single" w:sz="4" w:space="0" w:color="auto"/>
            </w:tcBorders>
            <w:hideMark/>
          </w:tcPr>
          <w:p w14:paraId="0DE672C9" w14:textId="77777777" w:rsidR="003649E4" w:rsidRPr="00DF0053" w:rsidRDefault="003649E4" w:rsidP="00036BCB">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12-тақырып. </w:t>
            </w:r>
            <w:r w:rsidRPr="00C37273">
              <w:rPr>
                <w:rFonts w:ascii="Times New Roman" w:hAnsi="Times New Roman" w:cs="Times New Roman"/>
                <w:sz w:val="28"/>
                <w:szCs w:val="28"/>
                <w:lang w:val="kk-KZ"/>
              </w:rPr>
              <w:t>Санаткерлік меншік ж</w:t>
            </w:r>
            <w:r w:rsidRPr="00C37273">
              <w:rPr>
                <w:rFonts w:ascii="Times New Roman" w:eastAsia="MS Mincho" w:hAnsi="Times New Roman" w:cs="Times New Roman"/>
                <w:sz w:val="28"/>
                <w:szCs w:val="28"/>
                <w:lang w:val="kk-KZ"/>
              </w:rPr>
              <w:t>ә</w:t>
            </w:r>
            <w:r w:rsidRPr="00C37273">
              <w:rPr>
                <w:rFonts w:ascii="Times New Roman" w:hAnsi="Times New Roman" w:cs="Times New Roman"/>
                <w:sz w:val="28"/>
                <w:szCs w:val="28"/>
                <w:lang w:val="kk-KZ"/>
              </w:rPr>
              <w:t>не о</w:t>
            </w:r>
            <w:r w:rsidRPr="00C37273">
              <w:rPr>
                <w:rFonts w:ascii="Times New Roman" w:eastAsia="MS Mincho" w:hAnsi="Times New Roman" w:cs="Times New Roman"/>
                <w:sz w:val="28"/>
                <w:szCs w:val="28"/>
                <w:lang w:val="kk-KZ"/>
              </w:rPr>
              <w:t>ғ</w:t>
            </w:r>
            <w:r w:rsidRPr="00C37273">
              <w:rPr>
                <w:rFonts w:ascii="Times New Roman" w:hAnsi="Times New Roman" w:cs="Times New Roman"/>
                <w:sz w:val="28"/>
                <w:szCs w:val="28"/>
                <w:lang w:val="kk-KZ"/>
              </w:rPr>
              <w:t xml:space="preserve">ан </w:t>
            </w:r>
            <w:r w:rsidRPr="00C37273">
              <w:rPr>
                <w:rFonts w:ascii="Times New Roman" w:eastAsia="MS Mincho" w:hAnsi="Times New Roman" w:cs="Times New Roman"/>
                <w:sz w:val="28"/>
                <w:szCs w:val="28"/>
                <w:lang w:val="kk-KZ"/>
              </w:rPr>
              <w:t>құқ</w:t>
            </w:r>
            <w:r w:rsidRPr="00C37273">
              <w:rPr>
                <w:rFonts w:ascii="Times New Roman" w:hAnsi="Times New Roman" w:cs="Times New Roman"/>
                <w:sz w:val="28"/>
                <w:szCs w:val="28"/>
                <w:lang w:val="kk-KZ"/>
              </w:rPr>
              <w:t>ы</w:t>
            </w:r>
            <w:r w:rsidRPr="00C37273">
              <w:rPr>
                <w:rFonts w:ascii="Times New Roman" w:eastAsia="MS Mincho" w:hAnsi="Times New Roman" w:cs="Times New Roman"/>
                <w:sz w:val="28"/>
                <w:szCs w:val="28"/>
                <w:lang w:val="kk-KZ"/>
              </w:rPr>
              <w:t>қ</w:t>
            </w:r>
            <w:r w:rsidRPr="00C37273">
              <w:rPr>
                <w:rFonts w:ascii="Times New Roman" w:hAnsi="Times New Roman" w:cs="Times New Roman"/>
                <w:sz w:val="28"/>
                <w:szCs w:val="28"/>
                <w:lang w:val="kk-KZ"/>
              </w:rPr>
              <w:t xml:space="preserve"> инвестициялы</w:t>
            </w:r>
            <w:r w:rsidRPr="00C37273">
              <w:rPr>
                <w:rFonts w:ascii="Times New Roman" w:eastAsia="MS Mincho" w:hAnsi="Times New Roman" w:cs="Times New Roman"/>
                <w:sz w:val="28"/>
                <w:szCs w:val="28"/>
                <w:lang w:val="kk-KZ"/>
              </w:rPr>
              <w:t>қ</w:t>
            </w:r>
            <w:r w:rsidRPr="00C37273">
              <w:rPr>
                <w:rFonts w:ascii="Times New Roman" w:hAnsi="Times New Roman" w:cs="Times New Roman"/>
                <w:sz w:val="28"/>
                <w:szCs w:val="28"/>
                <w:lang w:val="kk-KZ"/>
              </w:rPr>
              <w:t xml:space="preserve"> </w:t>
            </w:r>
            <w:r w:rsidRPr="00C37273">
              <w:rPr>
                <w:rFonts w:ascii="Times New Roman" w:eastAsia="MS Mincho" w:hAnsi="Times New Roman" w:cs="Times New Roman"/>
                <w:sz w:val="28"/>
                <w:szCs w:val="28"/>
                <w:lang w:val="kk-KZ"/>
              </w:rPr>
              <w:t>қ</w:t>
            </w:r>
            <w:r w:rsidRPr="00C37273">
              <w:rPr>
                <w:rFonts w:ascii="Times New Roman" w:hAnsi="Times New Roman" w:cs="Times New Roman"/>
                <w:sz w:val="28"/>
                <w:szCs w:val="28"/>
                <w:lang w:val="kk-KZ"/>
              </w:rPr>
              <w:t>атынастарды</w:t>
            </w:r>
            <w:r w:rsidRPr="00C37273">
              <w:rPr>
                <w:rFonts w:ascii="Times New Roman" w:eastAsia="MS Mincho" w:hAnsi="Times New Roman" w:cs="Times New Roman"/>
                <w:sz w:val="28"/>
                <w:szCs w:val="28"/>
                <w:lang w:val="kk-KZ"/>
              </w:rPr>
              <w:t>ң</w:t>
            </w:r>
            <w:r w:rsidRPr="00C37273">
              <w:rPr>
                <w:rFonts w:ascii="Times New Roman" w:hAnsi="Times New Roman" w:cs="Times New Roman"/>
                <w:sz w:val="28"/>
                <w:szCs w:val="28"/>
                <w:lang w:val="kk-KZ"/>
              </w:rPr>
              <w:t xml:space="preserve"> объектісі ретінде. </w:t>
            </w:r>
          </w:p>
          <w:p w14:paraId="5CCE3946" w14:textId="77777777" w:rsidR="003649E4" w:rsidRPr="00956F33" w:rsidRDefault="003649E4" w:rsidP="003649E4">
            <w:pPr>
              <w:numPr>
                <w:ilvl w:val="0"/>
                <w:numId w:val="12"/>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Санаткерлік меншік және оған құқық инвестициялық қатынастардың объектісі ретінде түсінігі;</w:t>
            </w:r>
          </w:p>
          <w:p w14:paraId="6E780B5E" w14:textId="77777777" w:rsidR="003649E4" w:rsidRPr="00956F33" w:rsidRDefault="003649E4" w:rsidP="003649E4">
            <w:pPr>
              <w:numPr>
                <w:ilvl w:val="0"/>
                <w:numId w:val="12"/>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Санаткерлік меншікке инвестициялаудың ерекшеліктері;</w:t>
            </w:r>
          </w:p>
          <w:p w14:paraId="0E59064B" w14:textId="77777777" w:rsidR="003649E4" w:rsidRPr="00956F33" w:rsidRDefault="003649E4" w:rsidP="003649E4">
            <w:pPr>
              <w:numPr>
                <w:ilvl w:val="0"/>
                <w:numId w:val="12"/>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Санаткерлік меншік туралы заңдар;</w:t>
            </w:r>
          </w:p>
          <w:p w14:paraId="08532984" w14:textId="77777777" w:rsidR="003649E4" w:rsidRPr="00956F33" w:rsidRDefault="003649E4" w:rsidP="003649E4">
            <w:pPr>
              <w:numPr>
                <w:ilvl w:val="0"/>
                <w:numId w:val="12"/>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Санаткерлік меншіктің нәтижесіне құқық;</w:t>
            </w:r>
          </w:p>
          <w:p w14:paraId="796C5E41" w14:textId="77777777" w:rsidR="003649E4" w:rsidRPr="00956F33" w:rsidRDefault="003649E4" w:rsidP="003649E4">
            <w:pPr>
              <w:numPr>
                <w:ilvl w:val="0"/>
                <w:numId w:val="12"/>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Шғармашылық қызмет нәтижелерінің құқықтық режимі;</w:t>
            </w:r>
          </w:p>
        </w:tc>
      </w:tr>
      <w:tr w:rsidR="003649E4" w:rsidRPr="003649E4" w14:paraId="2F59641D" w14:textId="77777777" w:rsidTr="00036BCB">
        <w:tc>
          <w:tcPr>
            <w:tcW w:w="1101" w:type="dxa"/>
            <w:tcBorders>
              <w:top w:val="single" w:sz="4" w:space="0" w:color="auto"/>
              <w:left w:val="single" w:sz="4" w:space="0" w:color="auto"/>
              <w:bottom w:val="single" w:sz="4" w:space="0" w:color="auto"/>
              <w:right w:val="single" w:sz="4" w:space="0" w:color="auto"/>
            </w:tcBorders>
            <w:hideMark/>
          </w:tcPr>
          <w:p w14:paraId="49357A7D" w14:textId="77777777" w:rsidR="003649E4" w:rsidRDefault="003649E4" w:rsidP="00036BCB">
            <w:pPr>
              <w:pStyle w:val="a3"/>
              <w:jc w:val="center"/>
              <w:rPr>
                <w:rFonts w:ascii="Times New Roman" w:hAnsi="Times New Roman" w:cs="Times New Roman"/>
                <w:sz w:val="28"/>
                <w:szCs w:val="28"/>
                <w:lang w:val="kk-KZ"/>
              </w:rPr>
            </w:pPr>
          </w:p>
          <w:p w14:paraId="23A8D7BE" w14:textId="77777777" w:rsidR="003649E4" w:rsidRDefault="003649E4" w:rsidP="00036BCB">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13</w:t>
            </w:r>
          </w:p>
        </w:tc>
        <w:tc>
          <w:tcPr>
            <w:tcW w:w="8470" w:type="dxa"/>
            <w:tcBorders>
              <w:top w:val="single" w:sz="4" w:space="0" w:color="auto"/>
              <w:left w:val="single" w:sz="4" w:space="0" w:color="auto"/>
              <w:bottom w:val="single" w:sz="4" w:space="0" w:color="auto"/>
              <w:right w:val="single" w:sz="4" w:space="0" w:color="auto"/>
            </w:tcBorders>
            <w:hideMark/>
          </w:tcPr>
          <w:p w14:paraId="1F694EB2" w14:textId="77777777" w:rsidR="003649E4" w:rsidRPr="00C37273" w:rsidRDefault="003649E4" w:rsidP="00036BCB">
            <w:pPr>
              <w:rPr>
                <w:rFonts w:ascii="Times New Roman" w:hAnsi="Times New Roman" w:cs="Times New Roman"/>
                <w:sz w:val="28"/>
                <w:szCs w:val="28"/>
                <w:lang w:val="kk-KZ"/>
              </w:rPr>
            </w:pPr>
            <w:r>
              <w:rPr>
                <w:rFonts w:ascii="Times New Roman" w:hAnsi="Times New Roman" w:cs="Times New Roman"/>
                <w:sz w:val="28"/>
                <w:szCs w:val="28"/>
                <w:lang w:val="kk-KZ"/>
              </w:rPr>
              <w:t xml:space="preserve">13-тақырып. </w:t>
            </w:r>
            <w:r w:rsidRPr="00C37273">
              <w:rPr>
                <w:rFonts w:ascii="Times New Roman" w:hAnsi="Times New Roman" w:cs="Times New Roman"/>
                <w:sz w:val="28"/>
                <w:szCs w:val="28"/>
                <w:lang w:val="kk-KZ"/>
              </w:rPr>
              <w:t>Инвеcтициялық-құқықтық қатынастарды халық</w:t>
            </w:r>
            <w:r>
              <w:rPr>
                <w:rFonts w:ascii="Times New Roman" w:hAnsi="Times New Roman" w:cs="Times New Roman"/>
                <w:sz w:val="28"/>
                <w:szCs w:val="28"/>
                <w:lang w:val="kk-KZ"/>
              </w:rPr>
              <w:t xml:space="preserve">аралық құқықтық реттеу. </w:t>
            </w:r>
          </w:p>
          <w:p w14:paraId="25FCBEC2" w14:textId="77777777" w:rsidR="003649E4" w:rsidRPr="00956F33" w:rsidRDefault="003649E4" w:rsidP="003649E4">
            <w:pPr>
              <w:numPr>
                <w:ilvl w:val="0"/>
                <w:numId w:val="13"/>
              </w:numPr>
              <w:spacing w:after="0" w:line="240" w:lineRule="auto"/>
              <w:rPr>
                <w:rFonts w:ascii="Times New Roman" w:hAnsi="Times New Roman" w:cs="Times New Roman"/>
                <w:sz w:val="24"/>
                <w:szCs w:val="24"/>
                <w:lang w:val="kk-KZ"/>
              </w:rPr>
            </w:pPr>
            <w:r w:rsidRPr="00956F33">
              <w:rPr>
                <w:rFonts w:ascii="Times New Roman" w:hAnsi="Times New Roman" w:cs="Times New Roman"/>
                <w:sz w:val="24"/>
                <w:szCs w:val="24"/>
                <w:lang w:val="kk-KZ"/>
              </w:rPr>
              <w:t>Шетелдік нвестицияларды халықаралық құқықтық реттеудің ерекшеліктері. Инвесторлар үшңн маңызы. Халықаралық құқықтық реттеудің дамуының негізгі кезеңдері;</w:t>
            </w:r>
          </w:p>
          <w:p w14:paraId="6C2EE5E0" w14:textId="77777777" w:rsidR="003649E4" w:rsidRPr="00956F33" w:rsidRDefault="003649E4" w:rsidP="003649E4">
            <w:pPr>
              <w:numPr>
                <w:ilvl w:val="0"/>
                <w:numId w:val="13"/>
              </w:numPr>
              <w:spacing w:after="0" w:line="240" w:lineRule="auto"/>
              <w:rPr>
                <w:rFonts w:ascii="Times New Roman" w:hAnsi="Times New Roman" w:cs="Times New Roman"/>
                <w:sz w:val="24"/>
                <w:szCs w:val="24"/>
                <w:lang w:val="kk-KZ"/>
              </w:rPr>
            </w:pPr>
            <w:r w:rsidRPr="00956F33">
              <w:rPr>
                <w:rFonts w:ascii="Times New Roman" w:hAnsi="Times New Roman" w:cs="Times New Roman"/>
                <w:sz w:val="24"/>
                <w:szCs w:val="24"/>
                <w:lang w:val="kk-KZ"/>
              </w:rPr>
              <w:t>Халықаралық құқықтық реттеудің нысандары;</w:t>
            </w:r>
          </w:p>
          <w:p w14:paraId="5E35B490" w14:textId="77777777" w:rsidR="003649E4" w:rsidRPr="00956F33" w:rsidRDefault="003649E4" w:rsidP="003649E4">
            <w:pPr>
              <w:numPr>
                <w:ilvl w:val="0"/>
                <w:numId w:val="13"/>
              </w:numPr>
              <w:spacing w:after="0" w:line="240" w:lineRule="auto"/>
              <w:rPr>
                <w:rFonts w:ascii="Times New Roman" w:hAnsi="Times New Roman" w:cs="Times New Roman"/>
                <w:sz w:val="24"/>
                <w:szCs w:val="24"/>
                <w:lang w:val="kk-KZ"/>
              </w:rPr>
            </w:pPr>
            <w:r w:rsidRPr="00956F33">
              <w:rPr>
                <w:rFonts w:ascii="Times New Roman" w:hAnsi="Times New Roman" w:cs="Times New Roman"/>
                <w:sz w:val="24"/>
                <w:szCs w:val="24"/>
                <w:lang w:val="kk-KZ"/>
              </w:rPr>
              <w:lastRenderedPageBreak/>
              <w:t>Инвестицияларды көп жақты халықаралық реттеу. Көп жақты реттеудің сипаттамасы. Көп жақты реттеудің маңызы. Көп жақты реттеудің дамуының негізгі кезеңдері;</w:t>
            </w:r>
          </w:p>
          <w:p w14:paraId="4D5CF19F" w14:textId="77777777" w:rsidR="003649E4" w:rsidRPr="00956F33" w:rsidRDefault="003649E4" w:rsidP="003649E4">
            <w:pPr>
              <w:numPr>
                <w:ilvl w:val="0"/>
                <w:numId w:val="13"/>
              </w:numPr>
              <w:spacing w:after="0" w:line="240" w:lineRule="auto"/>
              <w:rPr>
                <w:rFonts w:ascii="Times New Roman" w:hAnsi="Times New Roman" w:cs="Times New Roman"/>
                <w:sz w:val="24"/>
                <w:szCs w:val="24"/>
                <w:lang w:val="kk-KZ"/>
              </w:rPr>
            </w:pPr>
            <w:r w:rsidRPr="00956F33">
              <w:rPr>
                <w:rFonts w:ascii="Times New Roman" w:hAnsi="Times New Roman" w:cs="Times New Roman"/>
                <w:sz w:val="24"/>
                <w:szCs w:val="24"/>
                <w:lang w:val="kk-KZ"/>
              </w:rPr>
              <w:t>Ивестицияларды қолдау және қорғау жөніндегі екі жақты келісімдер. Олардың мазмұны, сипаттамасы, дамуының негізгі кезеңдері. Инвестицияларға кепілдіктер. Суброгация құқығы;</w:t>
            </w:r>
          </w:p>
          <w:p w14:paraId="01AE3D87" w14:textId="77777777" w:rsidR="003649E4" w:rsidRPr="00956F33" w:rsidRDefault="003649E4" w:rsidP="003649E4">
            <w:pPr>
              <w:numPr>
                <w:ilvl w:val="0"/>
                <w:numId w:val="13"/>
              </w:numPr>
              <w:spacing w:after="0" w:line="240" w:lineRule="auto"/>
              <w:rPr>
                <w:rFonts w:ascii="Times New Roman" w:hAnsi="Times New Roman" w:cs="Times New Roman"/>
                <w:sz w:val="24"/>
                <w:szCs w:val="24"/>
                <w:lang w:val="kk-KZ"/>
              </w:rPr>
            </w:pPr>
            <w:r w:rsidRPr="00956F33">
              <w:rPr>
                <w:rFonts w:ascii="Times New Roman" w:hAnsi="Times New Roman" w:cs="Times New Roman"/>
                <w:sz w:val="24"/>
                <w:szCs w:val="24"/>
                <w:lang w:val="kk-KZ"/>
              </w:rPr>
              <w:t>Инвестициялық қатынастырдың дамуындағы халықаралық ұйымдардың рөлі;</w:t>
            </w:r>
          </w:p>
          <w:p w14:paraId="147B1294" w14:textId="77777777" w:rsidR="003649E4" w:rsidRPr="00956F33" w:rsidRDefault="003649E4" w:rsidP="003649E4">
            <w:pPr>
              <w:numPr>
                <w:ilvl w:val="0"/>
                <w:numId w:val="13"/>
              </w:numPr>
              <w:spacing w:after="0" w:line="240" w:lineRule="auto"/>
              <w:rPr>
                <w:rFonts w:ascii="Times New Roman" w:hAnsi="Times New Roman" w:cs="Times New Roman"/>
                <w:sz w:val="24"/>
                <w:szCs w:val="24"/>
                <w:lang w:val="kk-KZ"/>
              </w:rPr>
            </w:pPr>
            <w:r w:rsidRPr="00956F33">
              <w:rPr>
                <w:rFonts w:ascii="Times New Roman" w:hAnsi="Times New Roman" w:cs="Times New Roman"/>
                <w:sz w:val="24"/>
                <w:szCs w:val="24"/>
                <w:lang w:val="kk-KZ"/>
              </w:rPr>
              <w:t>Мемлекет пен шетелдік тұлғалар арасындағы инвестициялық дауларды реттеу жөніндегі Вашингтон конвенциясы. Инвестициялардың кепілдігі жөніндегі көп жақты агенттік құру туралы Сеул конвенциясы. Энергетикалық хартияға шарт – 1994 жылы Лиссобон. Ұлттардың табиғи тұрақты егенмендігі туралы БҰҰ 1960 жылғы қарары;</w:t>
            </w:r>
          </w:p>
          <w:p w14:paraId="50846387" w14:textId="77777777" w:rsidR="003649E4" w:rsidRPr="00956F33" w:rsidRDefault="003649E4" w:rsidP="003649E4">
            <w:pPr>
              <w:numPr>
                <w:ilvl w:val="0"/>
                <w:numId w:val="13"/>
              </w:numPr>
              <w:spacing w:after="0" w:line="240" w:lineRule="auto"/>
              <w:rPr>
                <w:rFonts w:ascii="Times New Roman" w:hAnsi="Times New Roman" w:cs="Times New Roman"/>
                <w:sz w:val="24"/>
                <w:szCs w:val="24"/>
                <w:lang w:val="kk-KZ"/>
              </w:rPr>
            </w:pPr>
            <w:r w:rsidRPr="00956F33">
              <w:rPr>
                <w:rFonts w:ascii="Times New Roman" w:hAnsi="Times New Roman" w:cs="Times New Roman"/>
                <w:sz w:val="24"/>
                <w:szCs w:val="24"/>
                <w:lang w:val="kk-KZ"/>
              </w:rPr>
              <w:t>Халықаралық құқықтық актілердің ҚР заңдарына әсері;</w:t>
            </w:r>
          </w:p>
          <w:p w14:paraId="01EAFF86" w14:textId="77777777" w:rsidR="003649E4" w:rsidRPr="00C37273" w:rsidRDefault="003649E4" w:rsidP="00036BCB">
            <w:pPr>
              <w:tabs>
                <w:tab w:val="left" w:pos="360"/>
              </w:tabs>
              <w:jc w:val="both"/>
              <w:rPr>
                <w:rFonts w:ascii="Times New Roman" w:hAnsi="Times New Roman" w:cs="Times New Roman"/>
                <w:sz w:val="28"/>
                <w:szCs w:val="28"/>
                <w:lang w:val="kk-KZ"/>
              </w:rPr>
            </w:pPr>
          </w:p>
        </w:tc>
      </w:tr>
      <w:tr w:rsidR="003649E4" w:rsidRPr="003649E4" w14:paraId="1E08989F" w14:textId="77777777" w:rsidTr="00036BCB">
        <w:tc>
          <w:tcPr>
            <w:tcW w:w="1101" w:type="dxa"/>
            <w:tcBorders>
              <w:top w:val="single" w:sz="4" w:space="0" w:color="auto"/>
              <w:left w:val="single" w:sz="4" w:space="0" w:color="auto"/>
              <w:bottom w:val="single" w:sz="4" w:space="0" w:color="auto"/>
              <w:right w:val="single" w:sz="4" w:space="0" w:color="auto"/>
            </w:tcBorders>
            <w:hideMark/>
          </w:tcPr>
          <w:p w14:paraId="13627B5D" w14:textId="77777777" w:rsidR="003649E4" w:rsidRDefault="003649E4" w:rsidP="00036BCB">
            <w:pPr>
              <w:pStyle w:val="a3"/>
              <w:jc w:val="center"/>
              <w:rPr>
                <w:rFonts w:ascii="Times New Roman" w:hAnsi="Times New Roman" w:cs="Times New Roman"/>
                <w:sz w:val="28"/>
                <w:szCs w:val="28"/>
                <w:lang w:val="kk-KZ"/>
              </w:rPr>
            </w:pPr>
          </w:p>
        </w:tc>
        <w:tc>
          <w:tcPr>
            <w:tcW w:w="8470" w:type="dxa"/>
            <w:tcBorders>
              <w:top w:val="single" w:sz="4" w:space="0" w:color="auto"/>
              <w:left w:val="single" w:sz="4" w:space="0" w:color="auto"/>
              <w:bottom w:val="single" w:sz="4" w:space="0" w:color="auto"/>
              <w:right w:val="single" w:sz="4" w:space="0" w:color="auto"/>
            </w:tcBorders>
            <w:hideMark/>
          </w:tcPr>
          <w:p w14:paraId="44236C90" w14:textId="77777777" w:rsidR="003649E4" w:rsidRDefault="003649E4" w:rsidP="00036BCB">
            <w:pPr>
              <w:ind w:right="-8"/>
              <w:jc w:val="both"/>
              <w:rPr>
                <w:rFonts w:ascii="Times New Roman" w:hAnsi="Times New Roman" w:cs="Times New Roman"/>
                <w:bCs/>
                <w:sz w:val="24"/>
                <w:szCs w:val="24"/>
                <w:lang w:val="kk-KZ"/>
              </w:rPr>
            </w:pPr>
          </w:p>
        </w:tc>
      </w:tr>
      <w:tr w:rsidR="003649E4" w:rsidRPr="003649E4" w14:paraId="3FAAB6EA" w14:textId="77777777" w:rsidTr="00036BCB">
        <w:tc>
          <w:tcPr>
            <w:tcW w:w="1101" w:type="dxa"/>
            <w:tcBorders>
              <w:top w:val="single" w:sz="4" w:space="0" w:color="auto"/>
              <w:left w:val="single" w:sz="4" w:space="0" w:color="auto"/>
              <w:bottom w:val="single" w:sz="4" w:space="0" w:color="auto"/>
              <w:right w:val="single" w:sz="4" w:space="0" w:color="auto"/>
            </w:tcBorders>
            <w:hideMark/>
          </w:tcPr>
          <w:p w14:paraId="4AD3CA1A" w14:textId="77777777" w:rsidR="003649E4" w:rsidRDefault="003649E4" w:rsidP="00036BCB">
            <w:pPr>
              <w:pStyle w:val="a3"/>
              <w:jc w:val="center"/>
              <w:rPr>
                <w:rFonts w:ascii="Times New Roman" w:hAnsi="Times New Roman" w:cs="Times New Roman"/>
                <w:sz w:val="28"/>
                <w:szCs w:val="28"/>
                <w:lang w:val="kk-KZ"/>
              </w:rPr>
            </w:pPr>
          </w:p>
        </w:tc>
        <w:tc>
          <w:tcPr>
            <w:tcW w:w="8470" w:type="dxa"/>
            <w:tcBorders>
              <w:top w:val="single" w:sz="4" w:space="0" w:color="auto"/>
              <w:left w:val="single" w:sz="4" w:space="0" w:color="auto"/>
              <w:bottom w:val="single" w:sz="4" w:space="0" w:color="auto"/>
              <w:right w:val="single" w:sz="4" w:space="0" w:color="auto"/>
            </w:tcBorders>
            <w:hideMark/>
          </w:tcPr>
          <w:p w14:paraId="39FD2615" w14:textId="77777777" w:rsidR="003649E4" w:rsidRDefault="003649E4" w:rsidP="00036BCB">
            <w:pPr>
              <w:ind w:right="-8"/>
              <w:jc w:val="both"/>
              <w:rPr>
                <w:rFonts w:ascii="Times New Roman" w:hAnsi="Times New Roman" w:cs="Times New Roman"/>
                <w:bCs/>
                <w:sz w:val="24"/>
                <w:szCs w:val="24"/>
                <w:lang w:val="kk-KZ"/>
              </w:rPr>
            </w:pPr>
          </w:p>
        </w:tc>
      </w:tr>
    </w:tbl>
    <w:p w14:paraId="13380D32" w14:textId="77777777" w:rsidR="003649E4" w:rsidRDefault="003649E4" w:rsidP="003649E4">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Семинар сабақтарына бөлінетін балл саны – 20</w:t>
      </w:r>
    </w:p>
    <w:p w14:paraId="685EF700" w14:textId="77777777" w:rsidR="003649E4" w:rsidRDefault="003649E4" w:rsidP="003649E4">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(бірінші 7 апаға-10, екінші 7 аптаға-10)</w:t>
      </w:r>
    </w:p>
    <w:p w14:paraId="1E36B1EA" w14:textId="77777777" w:rsidR="009A7A68" w:rsidRDefault="009A7A68"/>
    <w:sectPr w:rsidR="009A7A68" w:rsidSect="009A7A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Kz Times New Roman">
    <w:altName w:val="Times New Roman"/>
    <w:charset w:val="CC"/>
    <w:family w:val="roman"/>
    <w:pitch w:val="variable"/>
    <w:sig w:usb0="00000000" w:usb1="4000387A" w:usb2="00000028"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4257C7"/>
    <w:multiLevelType w:val="hybridMultilevel"/>
    <w:tmpl w:val="B994FA96"/>
    <w:lvl w:ilvl="0" w:tplc="84402842">
      <w:start w:val="2"/>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4DE3439"/>
    <w:multiLevelType w:val="hybridMultilevel"/>
    <w:tmpl w:val="3A0A1700"/>
    <w:lvl w:ilvl="0" w:tplc="19C01FA4">
      <w:start w:val="1"/>
      <w:numFmt w:val="decimal"/>
      <w:lvlText w:val="%1."/>
      <w:lvlJc w:val="left"/>
      <w:pPr>
        <w:tabs>
          <w:tab w:val="num" w:pos="720"/>
        </w:tabs>
        <w:ind w:left="720" w:hanging="360"/>
      </w:pPr>
      <w:rPr>
        <w:rFonts w:ascii="Kz Times New Roman" w:hAnsi="Kz Times New Roman" w:cs="Kz 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71B126E"/>
    <w:multiLevelType w:val="hybridMultilevel"/>
    <w:tmpl w:val="5626743A"/>
    <w:lvl w:ilvl="0" w:tplc="347CFB54">
      <w:start w:val="1"/>
      <w:numFmt w:val="decimal"/>
      <w:lvlText w:val="%1."/>
      <w:lvlJc w:val="left"/>
      <w:pPr>
        <w:tabs>
          <w:tab w:val="num" w:pos="720"/>
        </w:tabs>
        <w:ind w:left="720" w:hanging="360"/>
      </w:pPr>
      <w:rPr>
        <w:rFonts w:ascii="Kz Times New Roman" w:hAnsi="Kz Times New Roman" w:cs="Kz 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23076F49"/>
    <w:multiLevelType w:val="hybridMultilevel"/>
    <w:tmpl w:val="16F63D7A"/>
    <w:lvl w:ilvl="0" w:tplc="30BAA4EA">
      <w:start w:val="1"/>
      <w:numFmt w:val="decimal"/>
      <w:lvlText w:val="%1."/>
      <w:lvlJc w:val="left"/>
      <w:pPr>
        <w:tabs>
          <w:tab w:val="num" w:pos="720"/>
        </w:tabs>
        <w:ind w:left="720" w:hanging="360"/>
      </w:pPr>
      <w:rPr>
        <w:rFonts w:ascii="Kz Times New Roman" w:hAnsi="Kz Times New Roman" w:cs="Kz 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343758DC"/>
    <w:multiLevelType w:val="hybridMultilevel"/>
    <w:tmpl w:val="51E051A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351F1B4D"/>
    <w:multiLevelType w:val="hybridMultilevel"/>
    <w:tmpl w:val="93B6572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5C4C24C3"/>
    <w:multiLevelType w:val="hybridMultilevel"/>
    <w:tmpl w:val="CBA0751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6EF2042E"/>
    <w:multiLevelType w:val="hybridMultilevel"/>
    <w:tmpl w:val="3826877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70105523"/>
    <w:multiLevelType w:val="hybridMultilevel"/>
    <w:tmpl w:val="44D03A44"/>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9" w15:restartNumberingAfterBreak="0">
    <w:nsid w:val="718712E3"/>
    <w:multiLevelType w:val="hybridMultilevel"/>
    <w:tmpl w:val="C840D1E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71D12C23"/>
    <w:multiLevelType w:val="hybridMultilevel"/>
    <w:tmpl w:val="DEECBCD2"/>
    <w:lvl w:ilvl="0" w:tplc="DF288A3E">
      <w:start w:val="1"/>
      <w:numFmt w:val="decimal"/>
      <w:lvlText w:val="%1."/>
      <w:lvlJc w:val="left"/>
      <w:pPr>
        <w:tabs>
          <w:tab w:val="num" w:pos="750"/>
        </w:tabs>
        <w:ind w:left="750" w:hanging="390"/>
      </w:pPr>
      <w:rPr>
        <w:rFonts w:ascii="Kz Times New Roman" w:hAnsi="Kz Times New Roman" w:cs="Kz 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79C268B2"/>
    <w:multiLevelType w:val="hybridMultilevel"/>
    <w:tmpl w:val="146E2BEA"/>
    <w:lvl w:ilvl="0" w:tplc="35EC2CCC">
      <w:start w:val="1"/>
      <w:numFmt w:val="decimal"/>
      <w:lvlText w:val="%1."/>
      <w:lvlJc w:val="left"/>
      <w:pPr>
        <w:tabs>
          <w:tab w:val="num" w:pos="360"/>
        </w:tabs>
        <w:ind w:left="360" w:hanging="360"/>
      </w:pPr>
    </w:lvl>
    <w:lvl w:ilvl="1" w:tplc="04190019">
      <w:start w:val="1"/>
      <w:numFmt w:val="decimal"/>
      <w:lvlText w:val="%2."/>
      <w:lvlJc w:val="left"/>
      <w:pPr>
        <w:tabs>
          <w:tab w:val="num" w:pos="1365"/>
        </w:tabs>
        <w:ind w:left="1365" w:hanging="360"/>
      </w:pPr>
    </w:lvl>
    <w:lvl w:ilvl="2" w:tplc="0419001B">
      <w:start w:val="1"/>
      <w:numFmt w:val="decimal"/>
      <w:lvlText w:val="%3."/>
      <w:lvlJc w:val="left"/>
      <w:pPr>
        <w:tabs>
          <w:tab w:val="num" w:pos="2085"/>
        </w:tabs>
        <w:ind w:left="2085" w:hanging="360"/>
      </w:pPr>
    </w:lvl>
    <w:lvl w:ilvl="3" w:tplc="0419000F">
      <w:start w:val="1"/>
      <w:numFmt w:val="decimal"/>
      <w:lvlText w:val="%4."/>
      <w:lvlJc w:val="left"/>
      <w:pPr>
        <w:tabs>
          <w:tab w:val="num" w:pos="2805"/>
        </w:tabs>
        <w:ind w:left="2805" w:hanging="360"/>
      </w:pPr>
    </w:lvl>
    <w:lvl w:ilvl="4" w:tplc="04190019">
      <w:start w:val="1"/>
      <w:numFmt w:val="decimal"/>
      <w:lvlText w:val="%5."/>
      <w:lvlJc w:val="left"/>
      <w:pPr>
        <w:tabs>
          <w:tab w:val="num" w:pos="3525"/>
        </w:tabs>
        <w:ind w:left="3525" w:hanging="360"/>
      </w:pPr>
    </w:lvl>
    <w:lvl w:ilvl="5" w:tplc="0419001B">
      <w:start w:val="1"/>
      <w:numFmt w:val="decimal"/>
      <w:lvlText w:val="%6."/>
      <w:lvlJc w:val="left"/>
      <w:pPr>
        <w:tabs>
          <w:tab w:val="num" w:pos="4245"/>
        </w:tabs>
        <w:ind w:left="4245" w:hanging="360"/>
      </w:pPr>
    </w:lvl>
    <w:lvl w:ilvl="6" w:tplc="0419000F">
      <w:start w:val="1"/>
      <w:numFmt w:val="decimal"/>
      <w:lvlText w:val="%7."/>
      <w:lvlJc w:val="left"/>
      <w:pPr>
        <w:tabs>
          <w:tab w:val="num" w:pos="4965"/>
        </w:tabs>
        <w:ind w:left="4965" w:hanging="360"/>
      </w:pPr>
    </w:lvl>
    <w:lvl w:ilvl="7" w:tplc="04190019">
      <w:start w:val="1"/>
      <w:numFmt w:val="decimal"/>
      <w:lvlText w:val="%8."/>
      <w:lvlJc w:val="left"/>
      <w:pPr>
        <w:tabs>
          <w:tab w:val="num" w:pos="5685"/>
        </w:tabs>
        <w:ind w:left="5685" w:hanging="360"/>
      </w:pPr>
    </w:lvl>
    <w:lvl w:ilvl="8" w:tplc="0419001B">
      <w:start w:val="1"/>
      <w:numFmt w:val="decimal"/>
      <w:lvlText w:val="%9."/>
      <w:lvlJc w:val="left"/>
      <w:pPr>
        <w:tabs>
          <w:tab w:val="num" w:pos="6405"/>
        </w:tabs>
        <w:ind w:left="6405" w:hanging="360"/>
      </w:pPr>
    </w:lvl>
  </w:abstractNum>
  <w:abstractNum w:abstractNumId="12" w15:restartNumberingAfterBreak="0">
    <w:nsid w:val="7FC32247"/>
    <w:multiLevelType w:val="hybridMultilevel"/>
    <w:tmpl w:val="5D7256F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16cid:durableId="50420077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91126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0961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515870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94038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690644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159036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99049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47555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030791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270763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342586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05945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9E4"/>
    <w:rsid w:val="001662C2"/>
    <w:rsid w:val="002B6B32"/>
    <w:rsid w:val="003649E4"/>
    <w:rsid w:val="0057420F"/>
    <w:rsid w:val="009A7A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3A243"/>
  <w15:docId w15:val="{394898F1-51BC-47D1-8BD1-4169F4021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49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3649E4"/>
    <w:pPr>
      <w:spacing w:after="120"/>
    </w:pPr>
  </w:style>
  <w:style w:type="character" w:customStyle="1" w:styleId="a4">
    <w:name w:val="Основной текст Знак"/>
    <w:basedOn w:val="a0"/>
    <w:link w:val="a3"/>
    <w:rsid w:val="003649E4"/>
  </w:style>
  <w:style w:type="paragraph" w:styleId="a5">
    <w:name w:val="Body Text Indent"/>
    <w:basedOn w:val="a"/>
    <w:link w:val="a6"/>
    <w:unhideWhenUsed/>
    <w:rsid w:val="003649E4"/>
    <w:pPr>
      <w:spacing w:after="120"/>
      <w:ind w:left="283"/>
    </w:pPr>
  </w:style>
  <w:style w:type="character" w:customStyle="1" w:styleId="a6">
    <w:name w:val="Основной текст с отступом Знак"/>
    <w:basedOn w:val="a0"/>
    <w:link w:val="a5"/>
    <w:rsid w:val="003649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1074</Words>
  <Characters>6127</Characters>
  <Application>Microsoft Office Word</Application>
  <DocSecurity>0</DocSecurity>
  <Lines>51</Lines>
  <Paragraphs>14</Paragraphs>
  <ScaleCrop>false</ScaleCrop>
  <Company>Microsoft</Company>
  <LinksUpToDate>false</LinksUpToDate>
  <CharactersWithSpaces>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Shirimbayeva Nazym</cp:lastModifiedBy>
  <cp:revision>2</cp:revision>
  <dcterms:created xsi:type="dcterms:W3CDTF">2024-07-05T04:53:00Z</dcterms:created>
  <dcterms:modified xsi:type="dcterms:W3CDTF">2024-07-05T04:53:00Z</dcterms:modified>
</cp:coreProperties>
</file>